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1440"/>
        <w:jc w:val="left"/>
      </w:pPr>
      <w:r>
        <w:drawing>
          <wp:inline distT="0" distB="0" distL="0" distR="0">
            <wp:extent cx="1524000" cy="15240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1524000" cy="1524000"/>
                    </a:xfrm>
                    <a:prstGeom prst="rect">
                      <a:avLst/>
                    </a:prstGeom>
                  </pic:spPr>
                </pic:pic>
              </a:graphicData>
            </a:graphic>
          </wp:inline>
        </w:drawing>
      </w:r>
    </w:p>
    <w:p>
      <w:pPr>
        <w:spacing w:after="240" w:before="160"/>
      </w:pPr>
      <w:r>
        <w:rPr>
          <w:rFonts w:ascii="Arial" w:cs="Arial" w:eastAsia="Arial" w:hAnsi="Arial"/>
          <w:b/>
          <w:bCs/>
          <w:color w:val="1F3864"/>
          <w:sz w:val="52"/>
          <w:szCs w:val="52"/>
        </w:rPr>
        <w:t xml:space="preserve">BLACKSTONE TRUST</w:t>
      </w:r>
    </w:p>
    <w:p>
      <w:pPr>
        <w:spacing w:after="160" w:before="0"/>
      </w:pPr>
      <w:r>
        <w:rPr>
          <w:rFonts w:ascii="Arial" w:cs="Arial" w:eastAsia="Arial" w:hAnsi="Arial"/>
          <w:b w:val="false"/>
          <w:bCs w:val="false"/>
          <w:color w:val="2E75B6"/>
          <w:sz w:val="40"/>
          <w:szCs w:val="40"/>
        </w:rPr>
        <w:t xml:space="preserve">Request for Proposal</w:t>
      </w:r>
    </w:p>
    <w:p>
      <w:pPr>
        <w:spacing w:after="80" w:before="0"/>
      </w:pPr>
      <w:r>
        <w:rPr>
          <w:rFonts w:ascii="Arial" w:cs="Arial" w:eastAsia="Arial" w:hAnsi="Arial"/>
          <w:b/>
          <w:bCs/>
          <w:color w:val="2E75B6"/>
          <w:sz w:val="40"/>
          <w:szCs w:val="40"/>
        </w:rPr>
        <w:t xml:space="preserve">Guidance Notes</w:t>
      </w:r>
    </w:p>
    <w:p>
      <w:pPr>
        <w:spacing w:after="0" w:before="80"/>
      </w:pPr>
      <w:r>
        <w:rPr>
          <w:rFonts w:ascii="Arial" w:cs="Arial" w:eastAsia="Arial" w:hAnsi="Arial"/>
          <w:sz w:val="22"/>
          <w:szCs w:val="22"/>
        </w:rPr>
        <w:t xml:space="preserve"/>
      </w:r>
    </w:p>
    <w:p>
      <w:pPr>
        <w:spacing w:after="80" w:before="0"/>
      </w:pPr>
      <w:r>
        <w:rPr>
          <w:rFonts w:ascii="Arial" w:cs="Arial" w:eastAsia="Arial" w:hAnsi="Arial"/>
          <w:b w:val="false"/>
          <w:bCs w:val="false"/>
          <w:color w:val="333333"/>
          <w:sz w:val="30"/>
          <w:szCs w:val="30"/>
        </w:rPr>
        <w:t xml:space="preserve">Street Connected Children Programme, Bangladesh</w:t>
      </w:r>
    </w:p>
    <w:p>
      <w:pPr>
        <w:spacing w:after="0" w:before="240"/>
      </w:pPr>
      <w:r>
        <w:rPr>
          <w:rFonts w:ascii="Arial" w:cs="Arial" w:eastAsia="Arial" w:hAnsi="Arial"/>
          <w:sz w:val="22"/>
          <w:szCs w:val="22"/>
        </w:rPr>
        <w:t xml:space="preserve"/>
      </w:r>
    </w:p>
    <w:p>
      <w:pPr>
        <w:spacing w:after="80" w:before="0"/>
      </w:pPr>
      <w:r>
        <w:rPr>
          <w:rFonts w:ascii="Arial" w:cs="Arial" w:eastAsia="Arial" w:hAnsi="Arial"/>
          <w:color w:val="555555"/>
          <w:sz w:val="22"/>
          <w:szCs w:val="22"/>
        </w:rPr>
        <w:t xml:space="preserve">For experienced NGOs registered with the NGO Affairs Bureau and authorised to receive foreign funds</w:t>
      </w:r>
    </w:p>
    <w:p>
      <w:pPr>
        <w:spacing w:after="0" w:before="900"/>
      </w:pPr>
      <w:r>
        <w:rPr>
          <w:rFonts w:ascii="Arial" w:cs="Arial" w:eastAsia="Arial" w:hAnsi="Arial"/>
          <w:sz w:val="22"/>
          <w:szCs w:val="22"/>
        </w:rPr>
        <w:t xml:space="preserve"/>
      </w:r>
    </w:p>
    <w:p>
      <w:pPr>
        <w:spacing w:after="80" w:before="0"/>
      </w:pPr>
      <w:r>
        <w:rPr>
          <w:rFonts w:ascii="Arial" w:cs="Arial" w:eastAsia="Arial" w:hAnsi="Arial"/>
          <w:color w:val="666666"/>
          <w:sz w:val="22"/>
          <w:szCs w:val="22"/>
        </w:rPr>
        <w:t xml:space="preserve">Version 6  |  May 2026</w:t>
      </w:r>
    </w:p>
    <w:p>
      <w:pPr>
        <w:spacing w:after="80" w:before="0"/>
      </w:pPr>
      <w:r>
        <w:rPr>
          <w:rFonts w:ascii="Arial" w:cs="Arial" w:eastAsia="Arial" w:hAnsi="Arial"/>
          <w:b/>
          <w:bCs/>
          <w:color w:val="1F3864"/>
          <w:sz w:val="22"/>
          <w:szCs w:val="22"/>
        </w:rPr>
        <w:t xml:space="preserve">Submission deadline: 5pm UK time, Monday 15 June 2026</w:t>
      </w:r>
    </w:p>
    <w:p>
      <w:pPr>
        <w:spacing w:after="80" w:before="0"/>
      </w:pPr>
      <w:r>
        <w:rPr>
          <w:rFonts w:ascii="Arial" w:cs="Arial" w:eastAsia="Arial" w:hAnsi="Arial"/>
          <w:color w:val="333333"/>
          <w:sz w:val="22"/>
          <w:szCs w:val="22"/>
        </w:rPr>
        <w:t xml:space="preserve">Submit to: globalops@blackstonecharity.co.uk</w:t>
      </w:r>
    </w:p>
    <w:p>
      <w:r>
        <w:br w:type="page"/>
      </w:r>
    </w:p>
    <w:p>
      <w:pPr>
        <w:pStyle w:val="Heading1"/>
        <w:spacing w:after="120" w:before="320"/>
      </w:pPr>
      <w:r>
        <w:rPr>
          <w:rFonts w:ascii="Arial" w:cs="Arial" w:eastAsia="Arial" w:hAnsi="Arial"/>
          <w:b/>
          <w:bCs/>
          <w:color w:val="1F3864"/>
          <w:sz w:val="30"/>
          <w:szCs w:val="30"/>
        </w:rPr>
        <w:t xml:space="preserve">1. Introduction to Blackstone Trust</w:t>
      </w:r>
    </w:p>
    <w:p>
      <w:pPr>
        <w:spacing w:after="80" w:before="80"/>
      </w:pPr>
      <w:r>
        <w:rPr>
          <w:rFonts w:ascii="Arial" w:cs="Arial" w:eastAsia="Arial" w:hAnsi="Arial"/>
          <w:b w:val="false"/>
          <w:bCs w:val="false"/>
          <w:color w:val="000000"/>
          <w:sz w:val="22"/>
          <w:szCs w:val="22"/>
        </w:rPr>
        <w:t xml:space="preserve">Blackstone Trust is a UK-registered charity working with partners to deliver practical, community-grounded programmes that support children, families and communities affected by poverty, displacement and exploitation. Blackstone Trust is registered with the Charity Commission for England and Wales. Charity Commission registration number: [CHARITY REGISTRATION NUMBER - CONFIRM BEFORE ISSUE]. Registered address: [REGISTERED ADDRESS - CONFIRM BEFORE ISSUE]. Applicants may verify our registration through the Charity Commission public register at register-of-charities.charitycommission.gov.uk.</w:t>
      </w:r>
    </w:p>
    <w:p>
      <w:pPr>
        <w:spacing w:after="80" w:before="80"/>
      </w:pPr>
      <w:r>
        <w:rPr>
          <w:rFonts w:ascii="Arial" w:cs="Arial" w:eastAsia="Arial" w:hAnsi="Arial"/>
          <w:b w:val="false"/>
          <w:bCs w:val="false"/>
          <w:color w:val="000000"/>
          <w:sz w:val="22"/>
          <w:szCs w:val="22"/>
        </w:rPr>
        <w:t xml:space="preserve">In Bangladesh, Blackstone Trust is seeking to develop a serious, child-centred programme for street-connected children. Our aim is a programme in which no child in Dhaka has to live, sleep, work or survive on the streets without protection, care, education and a safe pathway forward.</w:t>
      </w:r>
    </w:p>
    <w:p>
      <w:pPr>
        <w:spacing w:after="80" w:before="80"/>
      </w:pPr>
      <w:r>
        <w:rPr>
          <w:rFonts w:ascii="Arial" w:cs="Arial" w:eastAsia="Arial" w:hAnsi="Arial"/>
          <w:b w:val="false"/>
          <w:bCs w:val="false"/>
          <w:color w:val="000000"/>
          <w:sz w:val="22"/>
          <w:szCs w:val="22"/>
        </w:rPr>
        <w:t xml:space="preserve">This Request for Proposal is issued to identify an experienced NGO partner with the practical systems, staff, safeguarding discipline and operational judgement to deliver this programme safely. We are not looking for a partner that describes the problem well. We are looking for a partner that can design and implement a clear programme with measurable outcomes, strong safeguarding, careful case management, financial accountability and evidence-based reporting.</w:t>
      </w:r>
    </w:p>
    <w:p>
      <w:pPr>
        <w:pStyle w:val="Heading1"/>
        <w:spacing w:after="120" w:before="320"/>
      </w:pPr>
      <w:r>
        <w:rPr>
          <w:rFonts w:ascii="Arial" w:cs="Arial" w:eastAsia="Arial" w:hAnsi="Arial"/>
          <w:b/>
          <w:bCs/>
          <w:color w:val="1F3864"/>
          <w:sz w:val="30"/>
          <w:szCs w:val="30"/>
        </w:rPr>
        <w:t xml:space="preserve">2. Purpose of these guidance notes</w:t>
      </w:r>
    </w:p>
    <w:p>
      <w:pPr>
        <w:spacing w:after="80" w:before="80"/>
      </w:pPr>
      <w:r>
        <w:rPr>
          <w:rFonts w:ascii="Arial" w:cs="Arial" w:eastAsia="Arial" w:hAnsi="Arial"/>
          <w:b w:val="false"/>
          <w:bCs w:val="false"/>
          <w:color w:val="000000"/>
          <w:sz w:val="22"/>
          <w:szCs w:val="22"/>
        </w:rPr>
        <w:t xml:space="preserve">These guidance notes explain what Blackstone Trust is looking for and how applicants should complete the separate Request for Proposal Application Form and Financial Proposal. They are intended to give applicants enough information to prepare a clear, realistic and evidence-based proposal, while leaving experienced NGOs room to explain how they would deliver the programme in practice.</w:t>
      </w:r>
    </w:p>
    <w:p>
      <w:pPr>
        <w:spacing w:after="80" w:before="80"/>
      </w:pPr>
      <w:r>
        <w:rPr>
          <w:rFonts w:ascii="Arial" w:cs="Arial" w:eastAsia="Arial" w:hAnsi="Arial"/>
          <w:b w:val="false"/>
          <w:bCs w:val="false"/>
          <w:color w:val="000000"/>
          <w:sz w:val="22"/>
          <w:szCs w:val="22"/>
        </w:rPr>
        <w:t xml:space="preserve">Applicants should read this document in full before completing the application form. The guidance notes do not replace the application form. Applicants must answer every relevant question in the form. The Financial Proposal must be completed separately and must match the delivery categories described in this document.</w:t>
      </w:r>
    </w:p>
    <w:p>
      <w:pPr>
        <w:spacing w:after="80" w:before="80"/>
      </w:pPr>
      <w:r>
        <w:rPr>
          <w:rFonts w:ascii="Arial" w:cs="Arial" w:eastAsia="Arial" w:hAnsi="Arial"/>
          <w:b w:val="false"/>
          <w:bCs w:val="false"/>
          <w:color w:val="000000"/>
          <w:sz w:val="22"/>
          <w:szCs w:val="22"/>
        </w:rPr>
        <w:t xml:space="preserve">The application form is where applicants should provide detailed answers on staffing, locations, shelter capacity, outreach plans, AKASH delivery, ambassador recruitment, safeguarding procedures, monitoring, milestones and budget assumptions. Applicants should not treat these guidance notes as wording to copy back. The proposal must explain how the applicant will deliver the programme in practice, what resources they will use, what risks they expect, and how they will evidence outcomes.</w:t>
      </w:r>
    </w:p>
    <w:p>
      <w:pPr>
        <w:pStyle w:val="Heading1"/>
        <w:spacing w:after="120" w:before="320"/>
      </w:pPr>
      <w:r>
        <w:rPr>
          <w:rFonts w:ascii="Arial" w:cs="Arial" w:eastAsia="Arial" w:hAnsi="Arial"/>
          <w:b/>
          <w:bCs/>
          <w:color w:val="1F3864"/>
          <w:sz w:val="30"/>
          <w:szCs w:val="30"/>
        </w:rPr>
        <w:t xml:space="preserve">3. What Blackstone Trust is looking for</w:t>
      </w:r>
    </w:p>
    <w:p>
      <w:pPr>
        <w:spacing w:after="80" w:before="80"/>
      </w:pPr>
      <w:r>
        <w:rPr>
          <w:rFonts w:ascii="Arial" w:cs="Arial" w:eastAsia="Arial" w:hAnsi="Arial"/>
          <w:b w:val="false"/>
          <w:bCs w:val="false"/>
          <w:color w:val="000000"/>
          <w:sz w:val="22"/>
          <w:szCs w:val="22"/>
        </w:rPr>
        <w:t xml:space="preserve">Blackstone Trust is looking for a partner that can combine practical field delivery with disciplined child protection systems. The selected organisation must be able to work with street-connected children in Dhaka, manage a safe short-stay shelter, deliver informal education through AKASH, support family tracing and safe reunification, and build a national awareness network through trained ambassadors.</w:t>
      </w:r>
    </w:p>
    <w:p>
      <w:pPr>
        <w:spacing w:after="80" w:before="80"/>
      </w:pPr>
      <w:r>
        <w:rPr>
          <w:rFonts w:ascii="Arial" w:cs="Arial" w:eastAsia="Arial" w:hAnsi="Arial"/>
          <w:b w:val="false"/>
          <w:bCs w:val="false"/>
          <w:color w:val="000000"/>
          <w:sz w:val="22"/>
          <w:szCs w:val="22"/>
        </w:rPr>
        <w:t xml:space="preserve">A strong applicant will be able to show direct or senior staff experience in child-centred work, a credible Dhaka-based operational setup, strong safeguarding policies, practical safeguarding controls, experience managing staff and volunteers, ability to maintain case files and evidence, realistic budgeting and willingness to work with Blackstone Trust on monitoring, reporting and learning.</w:t>
      </w:r>
    </w:p>
    <w:p>
      <w:pPr>
        <w:spacing w:after="80" w:before="80"/>
      </w:pPr>
      <w:r>
        <w:rPr>
          <w:rFonts w:ascii="Arial" w:cs="Arial" w:eastAsia="Arial" w:hAnsi="Arial"/>
          <w:b w:val="false"/>
          <w:bCs w:val="false"/>
          <w:color w:val="000000"/>
          <w:sz w:val="22"/>
          <w:szCs w:val="22"/>
        </w:rPr>
        <w:t xml:space="preserve">Applicants should avoid vague statements and support their proposal with practical systems, verified examples and realistic delivery plans. Blackstone Trust will weight evidence of track record, operational realism and safeguarding credibility above writing quality.</w:t>
      </w:r>
    </w:p>
    <w:p>
      <w:pPr>
        <w:pStyle w:val="Heading1"/>
        <w:spacing w:after="120" w:before="320"/>
      </w:pPr>
      <w:r>
        <w:rPr>
          <w:rFonts w:ascii="Arial" w:cs="Arial" w:eastAsia="Arial" w:hAnsi="Arial"/>
          <w:b/>
          <w:bCs/>
          <w:color w:val="1F3864"/>
          <w:sz w:val="30"/>
          <w:szCs w:val="30"/>
        </w:rPr>
        <w:t xml:space="preserve">4. Who can apply</w:t>
      </w:r>
    </w:p>
    <w:p>
      <w:pPr>
        <w:spacing w:after="80" w:before="80"/>
      </w:pPr>
      <w:r>
        <w:rPr>
          <w:rFonts w:ascii="Arial" w:cs="Arial" w:eastAsia="Arial" w:hAnsi="Arial"/>
          <w:b w:val="false"/>
          <w:bCs w:val="false"/>
          <w:color w:val="000000"/>
          <w:sz w:val="22"/>
          <w:szCs w:val="22"/>
        </w:rPr>
        <w:t xml:space="preserve">Blackstone Trust is seeking an experienced NGO in Bangladesh that is registered with the NGO Affairs Bureau and authorised to receive foreign funds. Applicants must be able to evidence relevant experience in child-centred programming, either through the organisation directly, through senior staff, or through previous programmes that demonstrate strong child protection practice. Applicants must have at least three years of operational experience in relevant child-centred work.</w:t>
      </w:r>
    </w:p>
    <w:p>
      <w:pPr>
        <w:spacing w:after="80" w:before="80"/>
      </w:pPr>
      <w:r>
        <w:rPr>
          <w:rFonts w:ascii="Arial" w:cs="Arial" w:eastAsia="Arial" w:hAnsi="Arial"/>
          <w:b w:val="false"/>
          <w:bCs w:val="false"/>
          <w:color w:val="000000"/>
          <w:sz w:val="22"/>
          <w:szCs w:val="22"/>
        </w:rPr>
        <w:t xml:space="preserve">Relevant experience includes work with street-connected children, child protection, shelter or residential care, detached outreach, informal education, family tracing, reunification, safeguarding training, advocacy, volunteer mobilisation, research, community awareness or other child-centred work. Evidence must be provided through the online folder.</w:t>
      </w:r>
    </w:p>
    <w:p>
      <w:pPr>
        <w:spacing w:after="0" w:before="80"/>
      </w:pPr>
      <w:r>
        <w:rPr>
          <w:rFonts w:ascii="Arial" w:cs="Arial" w:eastAsia="Arial" w:hAnsi="Arial"/>
          <w:sz w:val="22"/>
          <w:szCs w:val="22"/>
        </w:rPr>
        <w:t xml:space="preserve"/>
      </w:r>
    </w:p>
    <w:p>
      <w:pPr>
        <w:spacing w:after="80" w:before="80"/>
      </w:pPr>
      <w:r>
        <w:rPr>
          <w:rFonts w:ascii="Arial" w:cs="Arial" w:eastAsia="Arial" w:hAnsi="Arial"/>
          <w:b/>
          <w:bCs/>
          <w:color w:val="000000"/>
          <w:sz w:val="22"/>
          <w:szCs w:val="22"/>
        </w:rPr>
        <w:t xml:space="preserve">Applicants must meet all of the following requirements:</w:t>
      </w:r>
    </w:p>
    <w:p>
      <w:pPr>
        <w:pStyle w:val="ListParagraph"/>
        <w:numPr>
          <w:ilvl w:val="0"/>
          <w:numId w:val="2"/>
        </w:numPr>
        <w:spacing w:after="40" w:before="40"/>
      </w:pPr>
      <w:r>
        <w:rPr>
          <w:rFonts w:ascii="Arial" w:cs="Arial" w:eastAsia="Arial" w:hAnsi="Arial"/>
          <w:b w:val="false"/>
          <w:bCs w:val="false"/>
          <w:color w:val="000000"/>
          <w:sz w:val="22"/>
          <w:szCs w:val="22"/>
        </w:rPr>
        <w:t xml:space="preserve">Registered with the NGO Affairs Bureau in Bangladesh.</w:t>
      </w:r>
    </w:p>
    <w:p>
      <w:pPr>
        <w:pStyle w:val="ListParagraph"/>
        <w:numPr>
          <w:ilvl w:val="0"/>
          <w:numId w:val="2"/>
        </w:numPr>
        <w:spacing w:after="40" w:before="40"/>
      </w:pPr>
      <w:r>
        <w:rPr>
          <w:rFonts w:ascii="Arial" w:cs="Arial" w:eastAsia="Arial" w:hAnsi="Arial"/>
          <w:b w:val="false"/>
          <w:bCs w:val="false"/>
          <w:color w:val="000000"/>
          <w:sz w:val="22"/>
          <w:szCs w:val="22"/>
        </w:rPr>
        <w:t xml:space="preserve">Legally authorised to receive foreign funds.</w:t>
      </w:r>
    </w:p>
    <w:p>
      <w:pPr>
        <w:pStyle w:val="ListParagraph"/>
        <w:numPr>
          <w:ilvl w:val="0"/>
          <w:numId w:val="2"/>
        </w:numPr>
        <w:spacing w:after="40" w:before="40"/>
      </w:pPr>
      <w:r>
        <w:rPr>
          <w:rFonts w:ascii="Arial" w:cs="Arial" w:eastAsia="Arial" w:hAnsi="Arial"/>
          <w:b w:val="false"/>
          <w:bCs w:val="false"/>
          <w:color w:val="000000"/>
          <w:sz w:val="22"/>
          <w:szCs w:val="22"/>
        </w:rPr>
        <w:t xml:space="preserve">At least three years of operational experience in relevant child-centred work.</w:t>
      </w:r>
    </w:p>
    <w:p>
      <w:pPr>
        <w:pStyle w:val="ListParagraph"/>
        <w:numPr>
          <w:ilvl w:val="0"/>
          <w:numId w:val="2"/>
        </w:numPr>
        <w:spacing w:after="40" w:before="40"/>
      </w:pPr>
      <w:r>
        <w:rPr>
          <w:rFonts w:ascii="Arial" w:cs="Arial" w:eastAsia="Arial" w:hAnsi="Arial"/>
          <w:b w:val="false"/>
          <w:bCs w:val="false"/>
          <w:color w:val="000000"/>
          <w:sz w:val="22"/>
          <w:szCs w:val="22"/>
        </w:rPr>
        <w:t xml:space="preserve">Able to demonstrate child-centred experience through evidence, not only narrative claims.</w:t>
      </w:r>
    </w:p>
    <w:p>
      <w:pPr>
        <w:pStyle w:val="ListParagraph"/>
        <w:numPr>
          <w:ilvl w:val="0"/>
          <w:numId w:val="2"/>
        </w:numPr>
        <w:spacing w:after="40" w:before="40"/>
      </w:pPr>
      <w:r>
        <w:rPr>
          <w:rFonts w:ascii="Arial" w:cs="Arial" w:eastAsia="Arial" w:hAnsi="Arial"/>
          <w:b w:val="false"/>
          <w:bCs w:val="false"/>
          <w:color w:val="000000"/>
          <w:sz w:val="22"/>
          <w:szCs w:val="22"/>
        </w:rPr>
        <w:t xml:space="preserve">Willing to undergo further due diligence, interview, face-to-face discussion and site visit if shortlisted.</w:t>
      </w:r>
    </w:p>
    <w:p>
      <w:pPr>
        <w:pStyle w:val="ListParagraph"/>
        <w:numPr>
          <w:ilvl w:val="0"/>
          <w:numId w:val="2"/>
        </w:numPr>
        <w:spacing w:after="40" w:before="40"/>
      </w:pPr>
      <w:r>
        <w:rPr>
          <w:rFonts w:ascii="Arial" w:cs="Arial" w:eastAsia="Arial" w:hAnsi="Arial"/>
          <w:b w:val="false"/>
          <w:bCs w:val="false"/>
          <w:color w:val="000000"/>
          <w:sz w:val="22"/>
          <w:szCs w:val="22"/>
        </w:rPr>
        <w:t xml:space="preserve">Able to operate the direct street-connected children programme in Dhaka.</w:t>
      </w:r>
    </w:p>
    <w:p>
      <w:pPr>
        <w:pStyle w:val="ListParagraph"/>
        <w:numPr>
          <w:ilvl w:val="0"/>
          <w:numId w:val="2"/>
        </w:numPr>
        <w:spacing w:after="40" w:before="40"/>
      </w:pPr>
      <w:r>
        <w:rPr>
          <w:rFonts w:ascii="Arial" w:cs="Arial" w:eastAsia="Arial" w:hAnsi="Arial"/>
          <w:b w:val="false"/>
          <w:bCs w:val="false"/>
          <w:color w:val="000000"/>
          <w:sz w:val="22"/>
          <w:szCs w:val="22"/>
        </w:rPr>
        <w:t xml:space="preserve">Able to support a national ambassador model where participants travel to Dhaka and return to their own districts.</w:t>
      </w:r>
    </w:p>
    <w:p>
      <w:pPr>
        <w:spacing w:after="0" w:before="12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No subcontracting</w:t>
      </w:r>
    </w:p>
    <w:p>
      <w:pPr>
        <w:spacing w:after="80" w:before="80"/>
      </w:pPr>
      <w:r>
        <w:rPr>
          <w:rFonts w:ascii="Arial" w:cs="Arial" w:eastAsia="Arial" w:hAnsi="Arial"/>
          <w:b w:val="false"/>
          <w:bCs w:val="false"/>
          <w:color w:val="000000"/>
          <w:sz w:val="22"/>
          <w:szCs w:val="22"/>
        </w:rPr>
        <w:t xml:space="preserve">The selected partner must deliver all components of this programme directly through its own organisation and staff. Subcontracting programme delivery to another organisation is not permitted under this RFP. This applies to all delivery categories including detached outreach, shelter operations, AKASH sessions, ambassador training, research activity and collaboration briefings. The selected partner may use freelance or sessional workers, such as sessional teachers, where specified in the programme design, provided these workers are directly engaged, trained, supervised and managed by the selected partner and are subject to its safeguarding and conduct requirements.</w:t>
      </w:r>
    </w:p>
    <w:p>
      <w:pPr>
        <w:spacing w:after="80" w:before="80"/>
      </w:pPr>
      <w:r>
        <w:rPr>
          <w:rFonts w:ascii="Arial" w:cs="Arial" w:eastAsia="Arial" w:hAnsi="Arial"/>
          <w:b w:val="false"/>
          <w:bCs w:val="false"/>
          <w:color w:val="000000"/>
          <w:sz w:val="22"/>
          <w:szCs w:val="22"/>
        </w:rPr>
        <w:t xml:space="preserve">This requirement exists because the programme involves children in shelter, outreach and high-risk child protection settings. Blackstone Trust requires a direct accountability relationship with the organisation responsible for child-facing delivery at all times.</w:t>
      </w:r>
    </w:p>
    <w:p>
      <w:pPr>
        <w:spacing w:after="0" w:before="12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English-language liaison requirement</w:t>
      </w:r>
    </w:p>
    <w:p>
      <w:pPr>
        <w:spacing w:after="80" w:before="80"/>
      </w:pPr>
      <w:r>
        <w:rPr>
          <w:rFonts w:ascii="Arial" w:cs="Arial" w:eastAsia="Arial" w:hAnsi="Arial"/>
          <w:b w:val="false"/>
          <w:bCs w:val="false"/>
          <w:color w:val="000000"/>
          <w:sz w:val="22"/>
          <w:szCs w:val="22"/>
        </w:rPr>
        <w:t xml:space="preserve">The selected partner must designate a named English-language programme liaison before the commencement of the project. This person will be the primary point of contact for all communications with Blackstone Trust and must have sufficient written and spoken English to produce monthly reports, respond to queries, participate in review discussions, and escalate safeguarding concerns in English.</w:t>
      </w:r>
    </w:p>
    <w:p>
      <w:pPr>
        <w:spacing w:after="80" w:before="80"/>
      </w:pPr>
      <w:r>
        <w:rPr>
          <w:rFonts w:ascii="Arial" w:cs="Arial" w:eastAsia="Arial" w:hAnsi="Arial"/>
          <w:b w:val="false"/>
          <w:bCs w:val="false"/>
          <w:color w:val="000000"/>
          <w:sz w:val="22"/>
          <w:szCs w:val="22"/>
        </w:rPr>
        <w:t xml:space="preserve">Applicants must name this person in the application form, state their role within the organisation, and confirm their English-language competence. All formal communications with Blackstone Trust, including reports, financial summaries, safeguarding notifications, case summaries and correspondence, will be conducted in English. Applicants who anticipate difficulty with this requirement should raise it during the clarification period before the deadline.</w:t>
      </w:r>
    </w:p>
    <w:p>
      <w:pPr>
        <w:pStyle w:val="Heading1"/>
        <w:spacing w:after="120" w:before="320"/>
      </w:pPr>
      <w:r>
        <w:rPr>
          <w:rFonts w:ascii="Arial" w:cs="Arial" w:eastAsia="Arial" w:hAnsi="Arial"/>
          <w:b/>
          <w:bCs/>
          <w:color w:val="1F3864"/>
          <w:sz w:val="30"/>
          <w:szCs w:val="30"/>
        </w:rPr>
        <w:t xml:space="preserve">5. Dhaka-based operational requirement</w:t>
      </w:r>
    </w:p>
    <w:p>
      <w:pPr>
        <w:spacing w:after="80" w:before="80"/>
      </w:pPr>
      <w:r>
        <w:rPr>
          <w:rFonts w:ascii="Arial" w:cs="Arial" w:eastAsia="Arial" w:hAnsi="Arial"/>
          <w:b w:val="false"/>
          <w:bCs w:val="false"/>
          <w:color w:val="000000"/>
          <w:sz w:val="22"/>
          <w:szCs w:val="22"/>
        </w:rPr>
        <w:t xml:space="preserve">The direct service delivery element of this programme will be based in Dhaka. Applicants must either have an established operational presence in Dhaka or be able to demonstrate how they will create a safe, supervised and well-managed Dhaka-based delivery structure before mobilisation begins. This should include clear management oversight, shelter supervision, staff coordination, safeguarding reporting, financial controls and access to senior decision-makers when urgent child protection issues arise.</w:t>
      </w:r>
    </w:p>
    <w:p>
      <w:pPr>
        <w:spacing w:after="80" w:before="80"/>
      </w:pPr>
      <w:r>
        <w:rPr>
          <w:rFonts w:ascii="Arial" w:cs="Arial" w:eastAsia="Arial" w:hAnsi="Arial"/>
          <w:b w:val="false"/>
          <w:bCs w:val="false"/>
          <w:color w:val="000000"/>
          <w:sz w:val="22"/>
          <w:szCs w:val="22"/>
        </w:rPr>
        <w:t xml:space="preserve">Blackstone Trust is looking for a partner with more than field access alone. Applicants must show that they can operate a centralised Dhaka delivery base with proper supervision, records, staff management, safeguarding escalation and programme coordination. This is a programme involving children in overnight shelter, street outreach, family tracing and high-risk safeguarding decisions, and it requires a consistently present and competent management structure.</w:t>
      </w:r>
    </w:p>
    <w:p>
      <w:pPr>
        <w:pStyle w:val="Heading1"/>
        <w:spacing w:after="120" w:before="320"/>
      </w:pPr>
      <w:r>
        <w:rPr>
          <w:rFonts w:ascii="Arial" w:cs="Arial" w:eastAsia="Arial" w:hAnsi="Arial"/>
          <w:b/>
          <w:bCs/>
          <w:color w:val="1F3864"/>
          <w:sz w:val="30"/>
          <w:szCs w:val="30"/>
        </w:rPr>
        <w:t xml:space="preserve">6. Project period and continuation</w:t>
      </w:r>
    </w:p>
    <w:p>
      <w:pPr>
        <w:spacing w:after="80" w:before="80"/>
      </w:pPr>
      <w:r>
        <w:rPr>
          <w:rFonts w:ascii="Arial" w:cs="Arial" w:eastAsia="Arial" w:hAnsi="Arial"/>
          <w:b w:val="false"/>
          <w:bCs w:val="false"/>
          <w:color w:val="000000"/>
          <w:sz w:val="22"/>
          <w:szCs w:val="22"/>
        </w:rPr>
        <w:t xml:space="preserve">The programme is intended to run from July 2026 to July 2029, subject to annual continuation review. Activities in the period between award and the commencement of funded field operations follow a two-phase approach.</w:t>
      </w:r>
    </w:p>
    <w:p>
      <w:pPr>
        <w:spacing w:after="80" w:before="80"/>
      </w:pPr>
      <w:r>
        <w:rPr>
          <w:rFonts w:ascii="Arial" w:cs="Arial" w:eastAsia="Arial" w:hAnsi="Arial"/>
          <w:b w:val="false"/>
          <w:bCs w:val="false"/>
          <w:color w:val="000000"/>
          <w:sz w:val="22"/>
          <w:szCs w:val="22"/>
        </w:rPr>
        <w:t xml:space="preserve">From the date of award confirmation, the selected partner may begin pre-approval activities immediately. These include recruitment advertising and safer recruitment processes, appointment and induction of key staff, safeguarding policy review and staff training, premises identification and lease negotiation, bank account setup for foreign funds, regulatory application preparation and submission, procurement of shelter equipment and materials, and development of monitoring systems and reporting templates. These activities do not require regulatory approval and should begin promptly.</w:t>
      </w:r>
    </w:p>
    <w:p>
      <w:pPr>
        <w:spacing w:after="80" w:before="80"/>
      </w:pPr>
      <w:r>
        <w:rPr>
          <w:rFonts w:ascii="Arial" w:cs="Arial" w:eastAsia="Arial" w:hAnsi="Arial"/>
          <w:b w:val="false"/>
          <w:bCs w:val="false"/>
          <w:color w:val="000000"/>
          <w:sz w:val="22"/>
          <w:szCs w:val="22"/>
        </w:rPr>
        <w:t xml:space="preserve">Funded field activity, including detached outreach operations, shelter intake, AKASH sessions and ambassador programme delivery, may only begin once all required approvals under national rules governing foreign-funded NGO operations are in place. Applicants must factor regulatory approval timelines into their Year 1 implementation plan. A timeline that assumes full field operations begin in July 2026 is unlikely to be achievable and will be treated as evidence of weak regulatory understanding.</w:t>
      </w:r>
    </w:p>
    <w:p>
      <w:pPr>
        <w:spacing w:after="80" w:before="80"/>
      </w:pPr>
      <w:r>
        <w:rPr>
          <w:rFonts w:ascii="Arial" w:cs="Arial" w:eastAsia="Arial" w:hAnsi="Arial"/>
          <w:b w:val="false"/>
          <w:bCs w:val="false"/>
          <w:color w:val="000000"/>
          <w:sz w:val="22"/>
          <w:szCs w:val="22"/>
        </w:rPr>
        <w:t xml:space="preserve">Blackstone Trust will work with the selected partner to support the approvals process and will not penalise a partner for approval delays outside its control, provided the partner has submitted its regulatory applications promptly and completely. Applicants should explain in the application form how they plan to manage the pre-approval period.</w:t>
      </w:r>
    </w:p>
    <w:p>
      <w:pPr>
        <w:spacing w:after="80" w:before="80"/>
      </w:pPr>
      <w:r>
        <w:rPr>
          <w:rFonts w:ascii="Arial" w:cs="Arial" w:eastAsia="Arial" w:hAnsi="Arial"/>
          <w:b w:val="false"/>
          <w:bCs w:val="false"/>
          <w:color w:val="000000"/>
          <w:sz w:val="22"/>
          <w:szCs w:val="22"/>
        </w:rPr>
        <w:t xml:space="preserve">Continuation into each year will depend on performance, safeguarding compliance, financial accountability, quality of reporting, delivery against agreed outcomes and Blackstone Trust review and approval. Blackstone Trust expects the programme model to improve each year through learning, evidence and programme refinement.</w:t>
      </w:r>
    </w:p>
    <w:p>
      <w:pPr>
        <w:spacing w:after="0" w:before="10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200"/>
        <w:gridCol w:w="5826"/>
      </w:tblGrid>
      <w:tr>
        <w:tc>
          <w:tcPr>
            <w:tcW w:type="dxa" w:w="32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Item</w:t>
            </w:r>
          </w:p>
        </w:tc>
        <w:tc>
          <w:tcPr>
            <w:tcW w:type="dxa" w:w="5826"/>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Detail</w:t>
            </w:r>
          </w:p>
        </w:tc>
      </w:tr>
      <w:tr>
        <w:tc>
          <w:tcPr>
            <w:tcW w:type="dxa" w:w="3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Programme period</w:t>
            </w:r>
          </w:p>
        </w:tc>
        <w:tc>
          <w:tcPr>
            <w:tcW w:type="dxa" w:w="58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July 2026 to July 2029 (subject to annual review and continuation)</w:t>
            </w:r>
          </w:p>
        </w:tc>
      </w:tr>
      <w:tr>
        <w:tc>
          <w:tcPr>
            <w:tcW w:type="dxa" w:w="3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Award date</w:t>
            </w:r>
          </w:p>
        </w:tc>
        <w:tc>
          <w:tcPr>
            <w:tcW w:type="dxa" w:w="58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Mobilisation and pre-approval activities begin immediately</w:t>
            </w:r>
          </w:p>
        </w:tc>
      </w:tr>
      <w:tr>
        <w:tc>
          <w:tcPr>
            <w:tcW w:type="dxa" w:w="3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Pre-approval activities</w:t>
            </w:r>
          </w:p>
        </w:tc>
        <w:tc>
          <w:tcPr>
            <w:tcW w:type="dxa" w:w="58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Recruitment, safeguarding preparation, premises identification, bank and regulatory application, equipment procurement, monitoring setup</w:t>
            </w:r>
          </w:p>
        </w:tc>
      </w:tr>
      <w:tr>
        <w:tc>
          <w:tcPr>
            <w:tcW w:type="dxa" w:w="3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Field activity start</w:t>
            </w:r>
          </w:p>
        </w:tc>
        <w:tc>
          <w:tcPr>
            <w:tcW w:type="dxa" w:w="58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After all required regulatory approvals are confirmed; not before</w:t>
            </w:r>
          </w:p>
        </w:tc>
      </w:tr>
      <w:tr>
        <w:tc>
          <w:tcPr>
            <w:tcW w:type="dxa" w:w="3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Year 1</w:t>
            </w:r>
          </w:p>
        </w:tc>
        <w:tc>
          <w:tcPr>
            <w:tcW w:type="dxa" w:w="58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July 2026 to July 2027: pre-approval mobilisation, then outreach deployment, shelter setup, AKASH delivery, ambassador programme Year 1, reporting systems</w:t>
            </w:r>
          </w:p>
        </w:tc>
      </w:tr>
      <w:tr>
        <w:tc>
          <w:tcPr>
            <w:tcW w:type="dxa" w:w="3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Year 2</w:t>
            </w:r>
          </w:p>
        </w:tc>
        <w:tc>
          <w:tcPr>
            <w:tcW w:type="dxa" w:w="58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July 2027 to July 2028: continuation subject to performance, expanded ambassador cohort, stronger referrals and evidence base</w:t>
            </w:r>
          </w:p>
        </w:tc>
      </w:tr>
      <w:tr>
        <w:tc>
          <w:tcPr>
            <w:tcW w:type="dxa" w:w="3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Year 3</w:t>
            </w:r>
          </w:p>
        </w:tc>
        <w:tc>
          <w:tcPr>
            <w:tcW w:type="dxa" w:w="58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July 2028 to July 2029: consolidation, national awareness growth, stronger research, sustainability planning</w:t>
            </w:r>
          </w:p>
        </w:tc>
      </w:tr>
      <w:tr>
        <w:tc>
          <w:tcPr>
            <w:tcW w:type="dxa" w:w="3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Financial Proposal exchange rate</w:t>
            </w:r>
          </w:p>
        </w:tc>
        <w:tc>
          <w:tcPr>
            <w:tcW w:type="dxa" w:w="58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 equals 155 BDT (for costing purposes only; actual disbursement rate may vary)</w:t>
            </w:r>
          </w:p>
        </w:tc>
      </w:tr>
    </w:tbl>
    <w:p>
      <w:pPr>
        <w:pStyle w:val="Heading1"/>
        <w:spacing w:after="120" w:before="320"/>
      </w:pPr>
      <w:r>
        <w:rPr>
          <w:rFonts w:ascii="Arial" w:cs="Arial" w:eastAsia="Arial" w:hAnsi="Arial"/>
          <w:b/>
          <w:bCs/>
          <w:color w:val="1F3864"/>
          <w:sz w:val="30"/>
          <w:szCs w:val="30"/>
        </w:rPr>
        <w:t xml:space="preserve">7. RFP timetable</w:t>
      </w:r>
    </w:p>
    <w:p>
      <w:pPr>
        <w:spacing w:after="80" w:before="80"/>
      </w:pPr>
      <w:r>
        <w:rPr>
          <w:rFonts w:ascii="Arial" w:cs="Arial" w:eastAsia="Arial" w:hAnsi="Arial"/>
          <w:b w:val="false"/>
          <w:bCs w:val="false"/>
          <w:color w:val="000000"/>
          <w:sz w:val="22"/>
          <w:szCs w:val="22"/>
        </w:rPr>
        <w:t xml:space="preserve">The timetable below sets out the expected process. Blackstone Trust may amend it if required, particularly where due diligence, interviews or site visits require additional time. Blackstone Trust will notify applicants of any material changes.</w:t>
      </w:r>
    </w:p>
    <w:p>
      <w:pPr>
        <w:spacing w:after="0" w:before="8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600"/>
        <w:gridCol w:w="2800"/>
        <w:gridCol w:w="3626"/>
      </w:tblGrid>
      <w:tr>
        <w:tc>
          <w:tcPr>
            <w:tcW w:type="dxa" w:w="26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Stage</w:t>
            </w:r>
          </w:p>
        </w:tc>
        <w:tc>
          <w:tcPr>
            <w:tcW w:type="dxa" w:w="28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Date or period</w:t>
            </w:r>
          </w:p>
        </w:tc>
        <w:tc>
          <w:tcPr>
            <w:tcW w:type="dxa" w:w="3626"/>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Notes</w:t>
            </w:r>
          </w:p>
        </w:tc>
      </w:tr>
      <w:tr>
        <w:tc>
          <w:tcPr>
            <w:tcW w:type="dxa" w:w="26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RFP opens</w:t>
            </w:r>
          </w:p>
        </w:tc>
        <w:tc>
          <w:tcPr>
            <w:tcW w:type="dxa" w:w="28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Monday 1 June 2026</w:t>
            </w:r>
          </w:p>
        </w:tc>
        <w:tc>
          <w:tcPr>
            <w:tcW w:type="dxa" w:w="36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Applicants may begin preparing their application and Financial Proposal.</w:t>
            </w:r>
          </w:p>
        </w:tc>
      </w:tr>
      <w:tr>
        <w:tc>
          <w:tcPr>
            <w:tcW w:type="dxa" w:w="26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Clarification period</w:t>
            </w:r>
          </w:p>
        </w:tc>
        <w:tc>
          <w:tcPr>
            <w:tcW w:type="dxa" w:w="28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From 1 June 2026 until the deadline</w:t>
            </w:r>
          </w:p>
        </w:tc>
        <w:tc>
          <w:tcPr>
            <w:tcW w:type="dxa" w:w="36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Questions by email using the required subject line.</w:t>
            </w:r>
          </w:p>
        </w:tc>
      </w:tr>
      <w:tr>
        <w:tc>
          <w:tcPr>
            <w:tcW w:type="dxa" w:w="26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Submission deadline</w:t>
            </w:r>
          </w:p>
        </w:tc>
        <w:tc>
          <w:tcPr>
            <w:tcW w:type="dxa" w:w="28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5pm UK time, Monday 15 June 2026</w:t>
            </w:r>
          </w:p>
        </w:tc>
        <w:tc>
          <w:tcPr>
            <w:tcW w:type="dxa" w:w="36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Late submissions may not be considered.</w:t>
            </w:r>
          </w:p>
        </w:tc>
      </w:tr>
      <w:tr>
        <w:tc>
          <w:tcPr>
            <w:tcW w:type="dxa" w:w="26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Initial review</w:t>
            </w:r>
          </w:p>
        </w:tc>
        <w:tc>
          <w:tcPr>
            <w:tcW w:type="dxa" w:w="28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Within 2 weeks of the deadline</w:t>
            </w:r>
          </w:p>
        </w:tc>
        <w:tc>
          <w:tcPr>
            <w:tcW w:type="dxa" w:w="36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Blackstone Trust will review applications, Financial Proposals and online evidence folders.</w:t>
            </w:r>
          </w:p>
        </w:tc>
      </w:tr>
      <w:tr>
        <w:tc>
          <w:tcPr>
            <w:tcW w:type="dxa" w:w="26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Interviews and further due diligence</w:t>
            </w:r>
          </w:p>
        </w:tc>
        <w:tc>
          <w:tcPr>
            <w:tcW w:type="dxa" w:w="28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Late June to early July 2026</w:t>
            </w:r>
          </w:p>
        </w:tc>
        <w:tc>
          <w:tcPr>
            <w:tcW w:type="dxa" w:w="36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Shortlisted applicants may be invited to interview, face-to-face meeting and site visit.</w:t>
            </w:r>
          </w:p>
        </w:tc>
      </w:tr>
      <w:tr>
        <w:tc>
          <w:tcPr>
            <w:tcW w:type="dxa" w:w="26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Notification of unsuccessful applicants</w:t>
            </w:r>
          </w:p>
        </w:tc>
        <w:tc>
          <w:tcPr>
            <w:tcW w:type="dxa" w:w="28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By end of June 2026</w:t>
            </w:r>
          </w:p>
        </w:tc>
        <w:tc>
          <w:tcPr>
            <w:tcW w:type="dxa" w:w="36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Applicants who have not been contacted by this date should assume their application has not progressed.</w:t>
            </w:r>
          </w:p>
        </w:tc>
      </w:tr>
      <w:tr>
        <w:tc>
          <w:tcPr>
            <w:tcW w:type="dxa" w:w="26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Expected award and mobilisation start</w:t>
            </w:r>
          </w:p>
        </w:tc>
        <w:tc>
          <w:tcPr>
            <w:tcW w:type="dxa" w:w="28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No later than mid-July 2026</w:t>
            </w:r>
          </w:p>
        </w:tc>
        <w:tc>
          <w:tcPr>
            <w:tcW w:type="dxa" w:w="36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Pre-approval activities begin immediately from award. Field activity subject to regulatory approval.</w:t>
            </w:r>
          </w:p>
        </w:tc>
      </w:tr>
    </w:tbl>
    <w:p>
      <w:pPr>
        <w:pStyle w:val="Heading1"/>
        <w:spacing w:after="120" w:before="320"/>
      </w:pPr>
      <w:r>
        <w:rPr>
          <w:rFonts w:ascii="Arial" w:cs="Arial" w:eastAsia="Arial" w:hAnsi="Arial"/>
          <w:b/>
          <w:bCs/>
          <w:color w:val="1F3864"/>
          <w:sz w:val="30"/>
          <w:szCs w:val="30"/>
        </w:rPr>
        <w:t xml:space="preserve">8. Clarification process</w:t>
      </w:r>
    </w:p>
    <w:p>
      <w:pPr>
        <w:spacing w:after="80" w:before="80"/>
      </w:pPr>
      <w:r>
        <w:rPr>
          <w:rFonts w:ascii="Arial" w:cs="Arial" w:eastAsia="Arial" w:hAnsi="Arial"/>
          <w:b w:val="false"/>
          <w:bCs w:val="false"/>
          <w:color w:val="000000"/>
          <w:sz w:val="22"/>
          <w:szCs w:val="22"/>
        </w:rPr>
        <w:t xml:space="preserve">Applicants may send clarification questions to Blackstone Trust during the application period. Questions should be practical and relate to the RFP, application form, Financial Proposal, eligibility or submission requirements.</w:t>
      </w:r>
    </w:p>
    <w:p>
      <w:pPr>
        <w:spacing w:after="80" w:before="80"/>
      </w:pPr>
      <w:r>
        <w:rPr>
          <w:rFonts w:ascii="Arial" w:cs="Arial" w:eastAsia="Arial" w:hAnsi="Arial"/>
          <w:b w:val="false"/>
          <w:bCs w:val="false"/>
          <w:color w:val="000000"/>
          <w:sz w:val="22"/>
          <w:szCs w:val="22"/>
        </w:rPr>
        <w:t xml:space="preserve">Blackstone Trust may respond directly to the applicant or may issue a general clarification where a question is relevant to all applicants. Applicants must not rely on informal conversations unless confirmed in writing by Blackstone Trust.</w:t>
      </w:r>
    </w:p>
    <w:p>
      <w:pPr>
        <w:spacing w:after="0" w:before="8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200"/>
        <w:gridCol w:w="5826"/>
      </w:tblGrid>
      <w:tr>
        <w:tc>
          <w:tcPr>
            <w:tcW w:type="dxa" w:w="32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Clarification contact</w:t>
            </w:r>
          </w:p>
        </w:tc>
        <w:tc>
          <w:tcPr>
            <w:tcW w:type="dxa" w:w="5826"/>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Detail</w:t>
            </w:r>
          </w:p>
        </w:tc>
      </w:tr>
      <w:tr>
        <w:tc>
          <w:tcPr>
            <w:tcW w:type="dxa" w:w="3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Email address</w:t>
            </w:r>
          </w:p>
        </w:tc>
        <w:tc>
          <w:tcPr>
            <w:tcW w:type="dxa" w:w="58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globalops@blackstonecharity.co.uk</w:t>
            </w:r>
          </w:p>
        </w:tc>
      </w:tr>
      <w:tr>
        <w:tc>
          <w:tcPr>
            <w:tcW w:type="dxa" w:w="3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Email subject line</w:t>
            </w:r>
          </w:p>
        </w:tc>
        <w:tc>
          <w:tcPr>
            <w:tcW w:type="dxa" w:w="58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Street Children RFP Question, [Your Organisation Name]</w:t>
            </w:r>
          </w:p>
        </w:tc>
      </w:tr>
      <w:tr>
        <w:tc>
          <w:tcPr>
            <w:tcW w:type="dxa" w:w="3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Clarification period</w:t>
            </w:r>
          </w:p>
        </w:tc>
        <w:tc>
          <w:tcPr>
            <w:tcW w:type="dxa" w:w="58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From 1 June 2026 to 5pm UK time, Monday 15 June 2026</w:t>
            </w:r>
          </w:p>
        </w:tc>
      </w:tr>
    </w:tbl>
    <w:p>
      <w:pPr>
        <w:pStyle w:val="Heading1"/>
        <w:spacing w:after="120" w:before="320"/>
      </w:pPr>
      <w:r>
        <w:rPr>
          <w:rFonts w:ascii="Arial" w:cs="Arial" w:eastAsia="Arial" w:hAnsi="Arial"/>
          <w:b/>
          <w:bCs/>
          <w:color w:val="1F3864"/>
          <w:sz w:val="30"/>
          <w:szCs w:val="30"/>
        </w:rPr>
        <w:t xml:space="preserve">9. Use of artificial intelligence</w:t>
      </w:r>
    </w:p>
    <w:p>
      <w:pPr>
        <w:spacing w:after="80" w:before="80"/>
      </w:pPr>
      <w:r>
        <w:rPr>
          <w:rFonts w:ascii="Arial" w:cs="Arial" w:eastAsia="Arial" w:hAnsi="Arial"/>
          <w:b w:val="false"/>
          <w:bCs w:val="false"/>
          <w:color w:val="000000"/>
          <w:sz w:val="22"/>
          <w:szCs w:val="22"/>
        </w:rPr>
        <w:t xml:space="preserve">Blackstone Trust recognises that applicants may use artificial intelligence tools to assist with drafting, formatting, translation support or document preparation. Such use is not prohibited. However, the following requirements apply to all applications submitted to this RFP.</w:t>
      </w:r>
    </w:p>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The application must reflect genuine organisational knowledge</w:t>
      </w:r>
    </w:p>
    <w:p>
      <w:pPr>
        <w:spacing w:after="80" w:before="80"/>
      </w:pPr>
      <w:r>
        <w:rPr>
          <w:rFonts w:ascii="Arial" w:cs="Arial" w:eastAsia="Arial" w:hAnsi="Arial"/>
          <w:b w:val="false"/>
          <w:bCs w:val="false"/>
          <w:color w:val="000000"/>
          <w:sz w:val="22"/>
          <w:szCs w:val="22"/>
        </w:rPr>
        <w:t xml:space="preserve">The application must reflect the organisation's genuine delivery experience, programme understanding and operational thinking. Sections of the application form that ask about relevant experience, understanding of the project and proposed delivery model must be written in the applicant's own words and grounded in the organisation's actual work. These sections will be tested at interview. An application that the organisation cannot explain, defend or expand upon at interview will not proceed.</w:t>
      </w:r>
    </w:p>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English-language communications must be direct</w:t>
      </w:r>
    </w:p>
    <w:p>
      <w:pPr>
        <w:spacing w:after="80" w:before="80"/>
      </w:pPr>
      <w:r>
        <w:rPr>
          <w:rFonts w:ascii="Arial" w:cs="Arial" w:eastAsia="Arial" w:hAnsi="Arial"/>
          <w:b w:val="false"/>
          <w:bCs w:val="false"/>
          <w:color w:val="000000"/>
          <w:sz w:val="22"/>
          <w:szCs w:val="22"/>
        </w:rPr>
        <w:t xml:space="preserve">The designated English-language programme liaison (see Section 4) must be capable of discussing application content, defending the delivery model and communicating clearly with Blackstone Trust without the use of real-time AI generation tools during formal communications. Reports, financial summaries and safeguarding notifications sent to Blackstone Trust must be written by a person with genuine knowledge of the programme, not produced by an AI tool from prompts.</w:t>
      </w:r>
    </w:p>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Applicants are responsible for the accuracy of all submitted information</w:t>
      </w:r>
    </w:p>
    <w:p>
      <w:pPr>
        <w:spacing w:after="80" w:before="80"/>
      </w:pPr>
      <w:r>
        <w:rPr>
          <w:rFonts w:ascii="Arial" w:cs="Arial" w:eastAsia="Arial" w:hAnsi="Arial"/>
          <w:b w:val="false"/>
          <w:bCs w:val="false"/>
          <w:color w:val="000000"/>
          <w:sz w:val="22"/>
          <w:szCs w:val="22"/>
        </w:rPr>
        <w:t xml:space="preserve">Where AI tools are used in preparing the application, the applicant remains fully responsible for the accuracy of every statement, figure, date, reference and claim in the submission. Blackstone Trust will treat all submitted information as verified by the applicant, regardless of how it was produced. Any fabricated figure, invented reference, misrepresented experience or unverifiable claim, whether introduced by the applicant or by an AI tool, will result in disqualification.</w:t>
      </w:r>
    </w:p>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AI-generated applications without genuine substance will be identified</w:t>
      </w:r>
    </w:p>
    <w:p>
      <w:pPr>
        <w:spacing w:after="80" w:before="80"/>
      </w:pPr>
      <w:r>
        <w:rPr>
          <w:rFonts w:ascii="Arial" w:cs="Arial" w:eastAsia="Arial" w:hAnsi="Arial"/>
          <w:b w:val="false"/>
          <w:bCs w:val="false"/>
          <w:color w:val="000000"/>
          <w:sz w:val="22"/>
          <w:szCs w:val="22"/>
        </w:rPr>
        <w:t xml:space="preserve">Applications that appear to have been produced entirely or substantially by an AI tool without genuine organisational knowledge, or that contain data inconsistencies, implausible claims, or content that cannot be verified through the online evidence folder, will be identified during review and will not proceed. Blackstone Trust is not assessing writing quality. We are assessing whether the organisation genuinely knows the work, has the track record to deliver it and can be held accountable for the safety of children in its care.</w:t>
      </w:r>
    </w:p>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Data accuracy is non-negotiable</w:t>
      </w:r>
    </w:p>
    <w:p>
      <w:pPr>
        <w:spacing w:after="80" w:before="80"/>
      </w:pPr>
      <w:r>
        <w:rPr>
          <w:rFonts w:ascii="Arial" w:cs="Arial" w:eastAsia="Arial" w:hAnsi="Arial"/>
          <w:b w:val="false"/>
          <w:bCs w:val="false"/>
          <w:color w:val="000000"/>
          <w:sz w:val="22"/>
          <w:szCs w:val="22"/>
        </w:rPr>
        <w:t xml:space="preserve">Applicants must check all data, figures, dates, calculations and claims before submission. This applies with particular care to: budget figures and exchange rate calculations; staffing numbers and roles; shelter capacity and separation arrangements; ambassador recruitment and cascade training targets; organisational registration details; and any statistics or estimates about street-connected children cited in the proposal. Errors in these areas will raise concerns about the applicant's attention to detail and governance standards.</w:t>
      </w:r>
    </w:p>
    <w:p>
      <w:pPr>
        <w:pStyle w:val="Heading1"/>
        <w:spacing w:after="120" w:before="320"/>
      </w:pPr>
      <w:r>
        <w:rPr>
          <w:rFonts w:ascii="Arial" w:cs="Arial" w:eastAsia="Arial" w:hAnsi="Arial"/>
          <w:b/>
          <w:bCs/>
          <w:color w:val="1F3864"/>
          <w:sz w:val="30"/>
          <w:szCs w:val="30"/>
        </w:rPr>
        <w:t xml:space="preserve">10. Submission instructions</w:t>
      </w:r>
    </w:p>
    <w:p>
      <w:pPr>
        <w:spacing w:after="80" w:before="80"/>
      </w:pPr>
      <w:r>
        <w:rPr>
          <w:rFonts w:ascii="Arial" w:cs="Arial" w:eastAsia="Arial" w:hAnsi="Arial"/>
          <w:b w:val="false"/>
          <w:bCs w:val="false"/>
          <w:color w:val="000000"/>
          <w:sz w:val="22"/>
          <w:szCs w:val="22"/>
        </w:rPr>
        <w:t xml:space="preserve">Applications must be submitted by email to globalops@blackstonecharity.co.uk by 5pm UK time on Monday 15 June 2026. Applicants should attach only the completed Request for Proposal Application Form and completed Financial Proposal to the email.</w:t>
      </w:r>
    </w:p>
    <w:p>
      <w:pPr>
        <w:spacing w:after="80" w:before="80"/>
      </w:pPr>
      <w:r>
        <w:rPr>
          <w:rFonts w:ascii="Arial" w:cs="Arial" w:eastAsia="Arial" w:hAnsi="Arial"/>
          <w:b w:val="false"/>
          <w:bCs w:val="false"/>
          <w:color w:val="000000"/>
          <w:sz w:val="22"/>
          <w:szCs w:val="22"/>
        </w:rPr>
        <w:t xml:space="preserve">Do not attach photographs, videos, policies, accounts, certificates or large files to the email. Supporting documents and evidence must be uploaded to an online folder. The folder link must be provided in the application form where requested. The online folder must remain accessible throughout the review, interview, site visit and due diligence period.</w:t>
      </w:r>
    </w:p>
    <w:p>
      <w:pPr>
        <w:spacing w:after="0" w:before="8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200"/>
        <w:gridCol w:w="5826"/>
      </w:tblGrid>
      <w:tr>
        <w:tc>
          <w:tcPr>
            <w:tcW w:type="dxa" w:w="32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Submission requirement</w:t>
            </w:r>
          </w:p>
        </w:tc>
        <w:tc>
          <w:tcPr>
            <w:tcW w:type="dxa" w:w="5826"/>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Detail</w:t>
            </w:r>
          </w:p>
        </w:tc>
      </w:tr>
      <w:tr>
        <w:tc>
          <w:tcPr>
            <w:tcW w:type="dxa" w:w="3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Primary email address</w:t>
            </w:r>
          </w:p>
        </w:tc>
        <w:tc>
          <w:tcPr>
            <w:tcW w:type="dxa" w:w="58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globalops@blackstonecharity.co.uk</w:t>
            </w:r>
          </w:p>
        </w:tc>
      </w:tr>
      <w:tr>
        <w:tc>
          <w:tcPr>
            <w:tcW w:type="dxa" w:w="3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Secondary email (if delivery issues)</w:t>
            </w:r>
          </w:p>
        </w:tc>
        <w:tc>
          <w:tcPr>
            <w:tcW w:type="dxa" w:w="58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contact@blackstonecharity.co.uk</w:t>
            </w:r>
          </w:p>
        </w:tc>
      </w:tr>
      <w:tr>
        <w:tc>
          <w:tcPr>
            <w:tcW w:type="dxa" w:w="3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Email subject line</w:t>
            </w:r>
          </w:p>
        </w:tc>
        <w:tc>
          <w:tcPr>
            <w:tcW w:type="dxa" w:w="58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Street Children RFP Submission, [Organisation Name]</w:t>
            </w:r>
          </w:p>
        </w:tc>
      </w:tr>
      <w:tr>
        <w:tc>
          <w:tcPr>
            <w:tcW w:type="dxa" w:w="3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Attachment 1</w:t>
            </w:r>
          </w:p>
        </w:tc>
        <w:tc>
          <w:tcPr>
            <w:tcW w:type="dxa" w:w="58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Completed Request for Proposal Application Form</w:t>
            </w:r>
          </w:p>
        </w:tc>
      </w:tr>
      <w:tr>
        <w:tc>
          <w:tcPr>
            <w:tcW w:type="dxa" w:w="3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Attachment 2</w:t>
            </w:r>
          </w:p>
        </w:tc>
        <w:tc>
          <w:tcPr>
            <w:tcW w:type="dxa" w:w="58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Completed Financial Proposal</w:t>
            </w:r>
          </w:p>
        </w:tc>
      </w:tr>
      <w:tr>
        <w:tc>
          <w:tcPr>
            <w:tcW w:type="dxa" w:w="3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Supporting evidence</w:t>
            </w:r>
          </w:p>
        </w:tc>
        <w:tc>
          <w:tcPr>
            <w:tcW w:type="dxa" w:w="58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One clearly labelled online folder link provided in the application form. Do not attach supporting documents to the email.</w:t>
            </w:r>
          </w:p>
        </w:tc>
      </w:tr>
      <w:tr>
        <w:tc>
          <w:tcPr>
            <w:tcW w:type="dxa" w:w="3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Deadline</w:t>
            </w:r>
          </w:p>
        </w:tc>
        <w:tc>
          <w:tcPr>
            <w:tcW w:type="dxa" w:w="58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5pm UK time, Monday 15 June 2026. Late submissions may not be considered.</w:t>
            </w:r>
          </w:p>
        </w:tc>
      </w:tr>
    </w:tbl>
    <w:p>
      <w:pPr>
        <w:pStyle w:val="Heading1"/>
        <w:spacing w:after="120" w:before="320"/>
      </w:pPr>
      <w:r>
        <w:rPr>
          <w:rFonts w:ascii="Arial" w:cs="Arial" w:eastAsia="Arial" w:hAnsi="Arial"/>
          <w:b/>
          <w:bCs/>
          <w:color w:val="1F3864"/>
          <w:sz w:val="30"/>
          <w:szCs w:val="30"/>
        </w:rPr>
        <w:t xml:space="preserve">11. Online evidence folder</w:t>
      </w:r>
    </w:p>
    <w:p>
      <w:pPr>
        <w:spacing w:after="80" w:before="80"/>
      </w:pPr>
      <w:r>
        <w:rPr>
          <w:rFonts w:ascii="Arial" w:cs="Arial" w:eastAsia="Arial" w:hAnsi="Arial"/>
          <w:b w:val="false"/>
          <w:bCs w:val="false"/>
          <w:color w:val="000000"/>
          <w:sz w:val="22"/>
          <w:szCs w:val="22"/>
        </w:rPr>
        <w:t xml:space="preserve">Applicants must provide supporting documents through an online folder such as Google Drive, OneDrive or Dropbox. The folder must be clearly organised, with numbered subfolders and file names that are easy to understand. The purpose of the folder is to allow Blackstone Trust to verify eligibility, experience, safeguarding systems, financial controls and evidence of previous work without receiving large attachments by email.</w:t>
      </w:r>
    </w:p>
    <w:p>
      <w:pPr>
        <w:spacing w:after="80" w:before="80"/>
      </w:pPr>
      <w:r>
        <w:rPr>
          <w:rFonts w:ascii="Arial" w:cs="Arial" w:eastAsia="Arial" w:hAnsi="Arial"/>
          <w:b w:val="false"/>
          <w:bCs w:val="false"/>
          <w:color w:val="000000"/>
          <w:sz w:val="22"/>
          <w:szCs w:val="22"/>
        </w:rPr>
        <w:t xml:space="preserve">Applicants must complete the application form fully and must not use the form as a list of links. Evidence in the folder supports the application; it does not replace written answers.</w:t>
      </w:r>
    </w:p>
    <w:p>
      <w:pPr>
        <w:spacing w:after="0" w:before="120"/>
      </w:pPr>
      <w:r>
        <w:rPr>
          <w:rFonts w:ascii="Arial" w:cs="Arial" w:eastAsia="Arial" w:hAnsi="Arial"/>
          <w:sz w:val="22"/>
          <w:szCs w:val="22"/>
        </w:rPr>
        <w:t xml:space="preserve"/>
      </w:r>
    </w:p>
    <w:p>
      <w:pPr>
        <w:spacing w:after="80" w:before="80"/>
      </w:pPr>
      <w:r>
        <w:rPr>
          <w:rFonts w:ascii="Arial" w:cs="Arial" w:eastAsia="Arial" w:hAnsi="Arial"/>
          <w:b/>
          <w:bCs/>
          <w:color w:val="000000"/>
          <w:sz w:val="22"/>
          <w:szCs w:val="22"/>
        </w:rPr>
        <w:t xml:space="preserve">Use the checklist below to confirm that all required documents are included in your folder before submission. Tick each item in the final column when uploaded.</w:t>
      </w:r>
    </w:p>
    <w:p>
      <w:pPr>
        <w:spacing w:after="0" w:before="8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00"/>
        <w:gridCol w:w="4500"/>
        <w:gridCol w:w="1500"/>
        <w:gridCol w:w="1366"/>
        <w:gridCol w:w="1160"/>
      </w:tblGrid>
      <w:tr>
        <w:tc>
          <w:tcPr>
            <w:tcW w:type="dxa" w:w="5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w:t>
            </w:r>
          </w:p>
        </w:tc>
        <w:tc>
          <w:tcPr>
            <w:tcW w:type="dxa" w:w="45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Document or evidence</w:t>
            </w:r>
          </w:p>
        </w:tc>
        <w:tc>
          <w:tcPr>
            <w:tcW w:type="dxa" w:w="15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Sub-folder</w:t>
            </w:r>
          </w:p>
        </w:tc>
        <w:tc>
          <w:tcPr>
            <w:tcW w:type="dxa" w:w="1366"/>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Status</w:t>
            </w:r>
          </w:p>
        </w:tc>
        <w:tc>
          <w:tcPr>
            <w:tcW w:type="dxa" w:w="116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Tick when uploaded</w:t>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1.1</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NGO Affairs Bureau registration certificate</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 Registration</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1.2</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Evidence of authorisation to receive foreign funds</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 Registration</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1.3</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Governing document or constitution</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 Registration</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1.4</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Tax registration certificate, if applicable</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 Registration</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If applicable</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1.5</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Organisation profile or annual report, if available</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 Registration</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Preferred</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2.1</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List of trustees, directors or executive committee members with roles</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2. Governance</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2.2</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Senior management organogram</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2. Governance</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2.3</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Project organogram showing roles for this programme, if available</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2. Governance</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Preferred</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2.4</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Conflict of interest policy, if available</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2. Governance</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Preferred</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3.1</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Latest audited accounts (signed and dated)</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 Finance</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3.2</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Management accounts, if available</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 Finance</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Preferred</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3.3</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Redacted bank statement or proof of active bank account in organisation's legal name</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 Finance</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3.4</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Finance policy</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 Finance</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3.5</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Procurement policy</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 Finance</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3.6</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Anti-bribery and corruption policy (or equivalent financial conduct policy)</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 Finance</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3.7</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Evidence of previous donor financial reporting, if available</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 Finance</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Preferred</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4.1</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Safeguarding or child protection policy (current version, signed and dated)</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 Safeguarding</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4.2</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Safer recruitment procedure</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 Safeguarding</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4.3</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Staff and volunteer code of conduct</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 Safeguarding</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4.4</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Whistleblowing policy</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 Safeguarding</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4.5</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Complaints procedure (including child-friendly route)</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 Safeguarding</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4.6</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Serious incident reporting procedure</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 Safeguarding</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4.7</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Photography and media consent policy</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 Safeguarding</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4.8</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Data protection or confidentiality policy</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 Safeguarding</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4.9</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Staff safeguarding training records, if available</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 Safeguarding</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Preferred</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4.10</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Evidence of previous child protection work</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 Safeguarding</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Preferred</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5.1</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Evidence of street-connected children or child protection project experience (reports, donor letters, case summaries)</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 Experience</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Mandatory</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5.2</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Evidence of shelter, residential care or safe accommodation experience, if applicable</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 Experience</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If applicable</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5.3</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Evidence of detached outreach, informal education or family tracing work</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 Experience</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Preferred</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5.4</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Anonymised case studies or programme summaries</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 Experience</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Preferred</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5.5</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References from previous funders or partners, if available</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 Experience</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Preferred</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6.1</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Shelter or premises: photos or video (via folder link only, not email attachment)</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6. Premises</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If available</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6.2</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Lease or ownership evidence for proposed shelter, if available</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6. Premises</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If available</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6.3</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Floor plan or room layout showing separation arrangements</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6. Premises</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If available</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6.4</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Fire safety and health and safety information for proposed premises</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6. Premises</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If available</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7.1</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University partnership evidence or letter of support, if available</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7. Ambassador</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If available</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7.2</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Previous training programme or volunteer mobilisation evidence</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7. Ambassador</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Preferred</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7.3</w:t>
            </w:r>
          </w:p>
        </w:tc>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Evidence of national or district-level networks, if applicable</w:t>
            </w:r>
          </w:p>
        </w:tc>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7. Ambassador</w:t>
            </w:r>
          </w:p>
        </w:tc>
        <w:tc>
          <w:tcPr>
            <w:tcW w:type="dxa" w:w="136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If available</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r>
        <w:tc>
          <w:tcPr>
            <w:tcW w:type="dxa" w:w="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8.1</w:t>
            </w:r>
          </w:p>
        </w:tc>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Photos, videos, press links, project pages or social media evidence (via folder links only)</w:t>
            </w:r>
          </w:p>
        </w:tc>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8. Media</w:t>
            </w:r>
          </w:p>
        </w:tc>
        <w:tc>
          <w:tcPr>
            <w:tcW w:type="dxa" w:w="136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Optional</w:t>
            </w:r>
          </w:p>
        </w:tc>
        <w:tc>
          <w:tcPr>
            <w:tcW w:type="dxa" w:w="1160"/>
            <w:tcBorders>
              <w:top w:val="single" w:color="AAAAAA" w:sz="4"/>
              <w:left w:val="single" w:color="AAAAAA" w:sz="4"/>
              <w:bottom w:val="single" w:color="AAAAAA" w:sz="4"/>
              <w:right w:val="single" w:color="AAAAAA" w:sz="4"/>
            </w:tcBorders>
            <w:tcMar>
              <w:top w:type="dxa" w:w="100"/>
              <w:left w:type="dxa" w:w="140"/>
              <w:bottom w:type="dxa" w:w="100"/>
              <w:right w:type="dxa" w:w="140"/>
            </w:tcMar>
          </w:tcPr>
          <w:p>
            <w:pPr>
              <w:spacing w:after="40" w:before="40"/>
              <w:jc w:val="center"/>
            </w:pPr>
            <w:r>
              <w:rPr>
                <w:rFonts w:ascii="Arial" w:cs="Arial" w:eastAsia="Arial" w:hAnsi="Arial"/>
                <w:sz w:val="20"/>
                <w:szCs w:val="20"/>
              </w:rPr>
              <w:t xml:space="preserve"/>
            </w:r>
          </w:p>
        </w:tc>
      </w:tr>
    </w:tbl>
    <w:p>
      <w:pPr>
        <w:spacing w:after="0" w:before="120"/>
      </w:pPr>
      <w:r>
        <w:rPr>
          <w:rFonts w:ascii="Arial" w:cs="Arial" w:eastAsia="Arial" w:hAnsi="Arial"/>
          <w:sz w:val="22"/>
          <w:szCs w:val="22"/>
        </w:rPr>
        <w:t xml:space="preserve"/>
      </w:r>
    </w:p>
    <w:p>
      <w:pPr>
        <w:pStyle w:val="Heading1"/>
        <w:spacing w:after="120" w:before="320"/>
      </w:pPr>
      <w:r>
        <w:rPr>
          <w:rFonts w:ascii="Arial" w:cs="Arial" w:eastAsia="Arial" w:hAnsi="Arial"/>
          <w:b/>
          <w:bCs/>
          <w:color w:val="1F3864"/>
          <w:sz w:val="30"/>
          <w:szCs w:val="30"/>
        </w:rPr>
        <w:t xml:space="preserve">12. Programme overview</w:t>
      </w:r>
    </w:p>
    <w:p>
      <w:pPr>
        <w:spacing w:after="80" w:before="80"/>
      </w:pPr>
      <w:r>
        <w:rPr>
          <w:rFonts w:ascii="Arial" w:cs="Arial" w:eastAsia="Arial" w:hAnsi="Arial"/>
          <w:b w:val="false"/>
          <w:bCs w:val="false"/>
          <w:color w:val="000000"/>
          <w:sz w:val="22"/>
          <w:szCs w:val="22"/>
        </w:rPr>
        <w:t xml:space="preserve">The Street Connected Children Programme will be based in Dhaka for direct service delivery and will include a national awareness, ambassador and safeguarding discussion programme across Bangladesh. The programme combines direct protection for children with prevention, public awareness, volunteer mobilisation and sector collaboration.</w:t>
      </w:r>
    </w:p>
    <w:p>
      <w:pPr>
        <w:spacing w:after="0" w:before="8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00"/>
        <w:gridCol w:w="2400"/>
        <w:gridCol w:w="6226"/>
      </w:tblGrid>
      <w:tr>
        <w:tc>
          <w:tcPr>
            <w:tcW w:type="dxa" w:w="4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w:t>
            </w:r>
          </w:p>
        </w:tc>
        <w:tc>
          <w:tcPr>
            <w:tcW w:type="dxa" w:w="24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Category</w:t>
            </w:r>
          </w:p>
        </w:tc>
        <w:tc>
          <w:tcPr>
            <w:tcW w:type="dxa" w:w="6226"/>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Summary</w:t>
            </w:r>
          </w:p>
        </w:tc>
      </w:tr>
      <w:tr>
        <w:tc>
          <w:tcPr>
            <w:tcW w:type="dxa" w:w="4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w:t>
            </w:r>
          </w:p>
        </w:tc>
        <w:tc>
          <w:tcPr>
            <w:tcW w:type="dxa" w:w="24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Detached Outreach</w:t>
            </w:r>
          </w:p>
        </w:tc>
        <w:tc>
          <w:tcPr>
            <w:tcW w:type="dxa" w:w="62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One male and one female detached outreach worker will engage children in street locations, build trust, identify risk, refer children into support and maintain follow-up contact.</w:t>
            </w:r>
          </w:p>
        </w:tc>
      </w:tr>
      <w:tr>
        <w:tc>
          <w:tcPr>
            <w:tcW w:type="dxa" w:w="4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2</w:t>
            </w:r>
          </w:p>
        </w:tc>
        <w:tc>
          <w:tcPr>
            <w:tcW w:type="dxa" w:w="24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Rescue and Night Shelter</w:t>
            </w:r>
          </w:p>
        </w:tc>
        <w:tc>
          <w:tcPr>
            <w:tcW w:type="dxa" w:w="62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 short-stay rescue and night shelter in Dhaka will provide safe overnight care, stabilisation, assessment, family tracing and referral planning through a 6-week pathway.</w:t>
            </w:r>
          </w:p>
        </w:tc>
      </w:tr>
      <w:tr>
        <w:tc>
          <w:tcPr>
            <w:tcW w:type="dxa" w:w="4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w:t>
            </w:r>
          </w:p>
        </w:tc>
        <w:tc>
          <w:tcPr>
            <w:tcW w:type="dxa" w:w="24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AKASH Open-Air School</w:t>
            </w:r>
          </w:p>
        </w:tc>
        <w:tc>
          <w:tcPr>
            <w:tcW w:type="dxa" w:w="62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AKASH (meaning sky) will provide informal learning, engagement and tracking for street-connected children through open-air and shelter-linked sessions, supported by sessional teachers twice a week.</w:t>
            </w:r>
          </w:p>
        </w:tc>
      </w:tr>
      <w:tr>
        <w:tc>
          <w:tcPr>
            <w:tcW w:type="dxa" w:w="4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w:t>
            </w:r>
          </w:p>
        </w:tc>
        <w:tc>
          <w:tcPr>
            <w:tcW w:type="dxa" w:w="24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National Street Children Ambassador, Research and Awareness Programme</w:t>
            </w:r>
          </w:p>
        </w:tc>
        <w:tc>
          <w:tcPr>
            <w:tcW w:type="dxa" w:w="62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Ambassadors from across Bangladesh will travel to Dhaka for training each year and then return to their districts to train others, support awareness and contribute to approved mapping or research activity.</w:t>
            </w:r>
          </w:p>
        </w:tc>
      </w:tr>
      <w:tr>
        <w:tc>
          <w:tcPr>
            <w:tcW w:type="dxa" w:w="4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w:t>
            </w:r>
          </w:p>
        </w:tc>
        <w:tc>
          <w:tcPr>
            <w:tcW w:type="dxa" w:w="24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Collaboration and Networking Briefings</w:t>
            </w:r>
          </w:p>
        </w:tc>
        <w:tc>
          <w:tcPr>
            <w:tcW w:type="dxa" w:w="62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Two informal tea and coffee briefings each year will bring NGOs and sector partners together to share learning, build referral relationships and encourage practical cooperation.</w:t>
            </w:r>
          </w:p>
        </w:tc>
      </w:tr>
    </w:tbl>
    <w:p>
      <w:pPr>
        <w:pStyle w:val="Heading1"/>
        <w:spacing w:after="120" w:before="320"/>
      </w:pPr>
      <w:r>
        <w:rPr>
          <w:rFonts w:ascii="Arial" w:cs="Arial" w:eastAsia="Arial" w:hAnsi="Arial"/>
          <w:b/>
          <w:bCs/>
          <w:color w:val="1F3864"/>
          <w:sz w:val="30"/>
          <w:szCs w:val="30"/>
        </w:rPr>
        <w:t xml:space="preserve">13. Expected age range and safeguarding considerations</w:t>
      </w:r>
    </w:p>
    <w:p>
      <w:pPr>
        <w:spacing w:after="80" w:before="80"/>
      </w:pPr>
      <w:r>
        <w:rPr>
          <w:rFonts w:ascii="Arial" w:cs="Arial" w:eastAsia="Arial" w:hAnsi="Arial"/>
          <w:b w:val="false"/>
          <w:bCs w:val="false"/>
          <w:color w:val="000000"/>
          <w:sz w:val="22"/>
          <w:szCs w:val="22"/>
        </w:rPr>
        <w:t xml:space="preserve">Applicants must explain how they will safely work with children and young people across the expected age range. The shelter and support model must recognise the specific risks associated with older girls and young women, and must maintain appropriate separation, supervision and privacy arrangements throughout.</w:t>
      </w:r>
    </w:p>
    <w:p>
      <w:pPr>
        <w:spacing w:after="0" w:before="8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1800"/>
        <w:gridCol w:w="5026"/>
      </w:tblGrid>
      <w:tr>
        <w:tc>
          <w:tcPr>
            <w:tcW w:type="dxa" w:w="22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Group</w:t>
            </w:r>
          </w:p>
        </w:tc>
        <w:tc>
          <w:tcPr>
            <w:tcW w:type="dxa" w:w="18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Expected age range</w:t>
            </w:r>
          </w:p>
        </w:tc>
        <w:tc>
          <w:tcPr>
            <w:tcW w:type="dxa" w:w="5026"/>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Guidance</w:t>
            </w:r>
          </w:p>
        </w:tc>
      </w:tr>
      <w:tr>
        <w:tc>
          <w:tcPr>
            <w:tcW w:type="dxa" w:w="2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Girls and young women</w:t>
            </w:r>
          </w:p>
        </w:tc>
        <w:tc>
          <w:tcPr>
            <w:tcW w:type="dxa" w:w="18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Up to 19 years</w:t>
            </w:r>
          </w:p>
        </w:tc>
        <w:tc>
          <w:tcPr>
            <w:tcW w:type="dxa" w:w="5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Applicants must explain separate and safe arrangements, female care staff, privacy, safeguarding, referral options and how older girls or young women will be supported without placing younger children at risk.</w:t>
            </w:r>
          </w:p>
        </w:tc>
      </w:tr>
      <w:tr>
        <w:tc>
          <w:tcPr>
            <w:tcW w:type="dxa" w:w="2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Boys</w:t>
            </w:r>
          </w:p>
        </w:tc>
        <w:tc>
          <w:tcPr>
            <w:tcW w:type="dxa" w:w="18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Up to 16 years</w:t>
            </w:r>
          </w:p>
        </w:tc>
        <w:tc>
          <w:tcPr>
            <w:tcW w:type="dxa" w:w="5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Applicants must explain separate and safe arrangements, age-appropriate care, supervision, referral pathways and separation between younger and older boys where needed.</w:t>
            </w:r>
          </w:p>
        </w:tc>
      </w:tr>
    </w:tbl>
    <w:p>
      <w:pPr>
        <w:spacing w:after="0" w:before="80"/>
      </w:pPr>
      <w:r>
        <w:rPr>
          <w:rFonts w:ascii="Arial" w:cs="Arial" w:eastAsia="Arial" w:hAnsi="Arial"/>
          <w:sz w:val="22"/>
          <w:szCs w:val="22"/>
        </w:rPr>
        <w:t xml:space="preserve"/>
      </w:r>
    </w:p>
    <w:p>
      <w:pPr>
        <w:spacing w:after="80" w:before="80"/>
      </w:pPr>
      <w:r>
        <w:rPr>
          <w:rFonts w:ascii="Arial" w:cs="Arial" w:eastAsia="Arial" w:hAnsi="Arial"/>
          <w:b w:val="false"/>
          <w:bCs w:val="false"/>
          <w:color w:val="000000"/>
          <w:sz w:val="22"/>
          <w:szCs w:val="22"/>
        </w:rPr>
        <w:t xml:space="preserve">Applicants must not assume that mixed arrangements are acceptable without a specific safeguarding explanation. Sleeping spaces, washing facilities, staff supervision and night-time arrangements must protect all children from abuse, exploitation, bullying, intimidation and inappropriate contact.</w:t>
      </w:r>
    </w:p>
    <w:p>
      <w:pPr>
        <w:pStyle w:val="Heading1"/>
        <w:spacing w:after="120" w:before="320"/>
      </w:pPr>
      <w:r>
        <w:rPr>
          <w:rFonts w:ascii="Arial" w:cs="Arial" w:eastAsia="Arial" w:hAnsi="Arial"/>
          <w:b/>
          <w:bCs/>
          <w:color w:val="1F3864"/>
          <w:sz w:val="30"/>
          <w:szCs w:val="30"/>
        </w:rPr>
        <w:t xml:space="preserve">14. The 6-week child pathway</w:t>
      </w:r>
    </w:p>
    <w:p>
      <w:pPr>
        <w:spacing w:after="80" w:before="80"/>
      </w:pPr>
      <w:r>
        <w:rPr>
          <w:rFonts w:ascii="Arial" w:cs="Arial" w:eastAsia="Arial" w:hAnsi="Arial"/>
          <w:b w:val="false"/>
          <w:bCs w:val="false"/>
          <w:color w:val="000000"/>
          <w:sz w:val="22"/>
          <w:szCs w:val="22"/>
        </w:rPr>
        <w:t xml:space="preserve">The programme should operate a 6-week protection, stabilisation and family tracing pathway for rescued children and children entering the shelter. The pathway is intended to provide enough time for safety, assessment, family tracing, planning and transition. It must not be treated as a rigid rule that forces unsafe decisions.</w:t>
      </w:r>
    </w:p>
    <w:p>
      <w:pPr>
        <w:spacing w:after="80" w:before="80"/>
      </w:pPr>
      <w:r>
        <w:rPr>
          <w:rFonts w:ascii="Arial" w:cs="Arial" w:eastAsia="Arial" w:hAnsi="Arial"/>
          <w:b w:val="false"/>
          <w:bCs w:val="false"/>
          <w:color w:val="000000"/>
          <w:sz w:val="22"/>
          <w:szCs w:val="22"/>
        </w:rPr>
        <w:t xml:space="preserve">No child should be returned to an unsafe setting because the 6-week period has ended. Where reunification is not safe or possible, the applicant must explain the onward referral, approved extension or alternative care planning process.</w:t>
      </w:r>
    </w:p>
    <w:p>
      <w:pPr>
        <w:spacing w:after="0" w:before="8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500"/>
        <w:gridCol w:w="1600"/>
        <w:gridCol w:w="5926"/>
      </w:tblGrid>
      <w:tr>
        <w:tc>
          <w:tcPr>
            <w:tcW w:type="dxa" w:w="15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Stage</w:t>
            </w:r>
          </w:p>
        </w:tc>
        <w:tc>
          <w:tcPr>
            <w:tcW w:type="dxa" w:w="16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Timing</w:t>
            </w:r>
          </w:p>
        </w:tc>
        <w:tc>
          <w:tcPr>
            <w:tcW w:type="dxa" w:w="5926"/>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Expected activity</w:t>
            </w:r>
          </w:p>
        </w:tc>
      </w:tr>
      <w:tr>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Identification</w:t>
            </w:r>
          </w:p>
        </w:tc>
        <w:tc>
          <w:tcPr>
            <w:tcW w:type="dxa" w:w="16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Week 1</w:t>
            </w:r>
          </w:p>
        </w:tc>
        <w:tc>
          <w:tcPr>
            <w:tcW w:type="dxa" w:w="59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Detached outreach contact, immediate risk screening, first contact record and safeguarding referral if required.</w:t>
            </w:r>
          </w:p>
        </w:tc>
      </w:tr>
      <w:tr>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Intake and safety</w:t>
            </w:r>
          </w:p>
        </w:tc>
        <w:tc>
          <w:tcPr>
            <w:tcW w:type="dxa" w:w="16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Week 1</w:t>
            </w:r>
          </w:p>
        </w:tc>
        <w:tc>
          <w:tcPr>
            <w:tcW w:type="dxa" w:w="59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Shelter admission where needed, safety check, food, hygiene, rest, basic information and case file opened.</w:t>
            </w:r>
          </w:p>
        </w:tc>
      </w:tr>
      <w:tr>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Assessment</w:t>
            </w:r>
          </w:p>
        </w:tc>
        <w:tc>
          <w:tcPr>
            <w:tcW w:type="dxa" w:w="16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Weeks 1 to 2</w:t>
            </w:r>
          </w:p>
        </w:tc>
        <w:tc>
          <w:tcPr>
            <w:tcW w:type="dxa" w:w="59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Full case assessment, health needs, family links, safeguarding concerns, education needs and child's own views.</w:t>
            </w:r>
          </w:p>
        </w:tc>
      </w:tr>
      <w:tr>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Family tracing</w:t>
            </w:r>
          </w:p>
        </w:tc>
        <w:tc>
          <w:tcPr>
            <w:tcW w:type="dxa" w:w="16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Weeks 2 to 4</w:t>
            </w:r>
          </w:p>
        </w:tc>
        <w:tc>
          <w:tcPr>
            <w:tcW w:type="dxa" w:w="59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Family tracing, relationship verification, home safety assessment and contact with relevant authorities or partners where needed.</w:t>
            </w:r>
          </w:p>
        </w:tc>
      </w:tr>
      <w:tr>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Planning</w:t>
            </w:r>
          </w:p>
        </w:tc>
        <w:tc>
          <w:tcPr>
            <w:tcW w:type="dxa" w:w="16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Weeks 4 to 5</w:t>
            </w:r>
          </w:p>
        </w:tc>
        <w:tc>
          <w:tcPr>
            <w:tcW w:type="dxa" w:w="59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Reunification plan, onward referral plan, education plan, documentation needs and extension request where required.</w:t>
            </w:r>
          </w:p>
        </w:tc>
      </w:tr>
      <w:tr>
        <w:tc>
          <w:tcPr>
            <w:tcW w:type="dxa" w:w="1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Transition</w:t>
            </w:r>
          </w:p>
        </w:tc>
        <w:tc>
          <w:tcPr>
            <w:tcW w:type="dxa" w:w="16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Week 6</w:t>
            </w:r>
          </w:p>
        </w:tc>
        <w:tc>
          <w:tcPr>
            <w:tcW w:type="dxa" w:w="59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Safe reunification, onward referral, approved extension or alternative care planning.</w:t>
            </w:r>
          </w:p>
        </w:tc>
      </w:tr>
      <w:tr>
        <w:tc>
          <w:tcPr>
            <w:tcW w:type="dxa" w:w="1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Follow-up</w:t>
            </w:r>
          </w:p>
        </w:tc>
        <w:tc>
          <w:tcPr>
            <w:tcW w:type="dxa" w:w="16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After exit</w:t>
            </w:r>
          </w:p>
        </w:tc>
        <w:tc>
          <w:tcPr>
            <w:tcW w:type="dxa" w:w="59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Follow-up checks on safety, education, wellbeing, family stability and risk of return to street.</w:t>
            </w:r>
          </w:p>
        </w:tc>
      </w:tr>
    </w:tbl>
    <w:p>
      <w:pPr>
        <w:pStyle w:val="Heading1"/>
        <w:spacing w:after="120" w:before="320"/>
      </w:pPr>
      <w:r>
        <w:rPr>
          <w:rFonts w:ascii="Arial" w:cs="Arial" w:eastAsia="Arial" w:hAnsi="Arial"/>
          <w:b/>
          <w:bCs/>
          <w:color w:val="1F3864"/>
          <w:sz w:val="30"/>
          <w:szCs w:val="30"/>
        </w:rPr>
        <w:t xml:space="preserve">15. Detached outreach</w:t>
      </w:r>
    </w:p>
    <w:p>
      <w:pPr>
        <w:spacing w:after="80" w:before="80"/>
      </w:pPr>
      <w:r>
        <w:rPr>
          <w:rFonts w:ascii="Arial" w:cs="Arial" w:eastAsia="Arial" w:hAnsi="Arial"/>
          <w:b w:val="false"/>
          <w:bCs w:val="false"/>
          <w:color w:val="000000"/>
          <w:sz w:val="22"/>
          <w:szCs w:val="22"/>
        </w:rPr>
        <w:t xml:space="preserve">Detached outreach is the street-based engagement element of the programme. It must not be treated as casual field activity. Applicants must explain how trained workers will identify children, build trust, respond to risk, make safe referrals and work within clear safeguarding boundaries.</w:t>
      </w:r>
    </w:p>
    <w:p>
      <w:pPr>
        <w:spacing w:after="80" w:before="80"/>
      </w:pPr>
      <w:r>
        <w:rPr>
          <w:rFonts w:ascii="Arial" w:cs="Arial" w:eastAsia="Arial" w:hAnsi="Arial"/>
          <w:b w:val="false"/>
          <w:bCs w:val="false"/>
          <w:color w:val="000000"/>
          <w:sz w:val="22"/>
          <w:szCs w:val="22"/>
        </w:rPr>
        <w:t xml:space="preserve">The minimum expected detached outreach team is one male detached outreach worker and one female detached outreach worker. Applicants may propose additional staff or sessional support where justified by safety, caseload or operating area, and should propose a realistic outreach frequency, including how many days or sessions per week will be delivered and how this will be supervised.</w:t>
      </w:r>
    </w:p>
    <w:p>
      <w:pPr>
        <w:spacing w:after="80" w:before="80"/>
      </w:pPr>
      <w:r>
        <w:rPr>
          <w:rFonts w:ascii="Arial" w:cs="Arial" w:eastAsia="Arial" w:hAnsi="Arial"/>
          <w:b w:val="false"/>
          <w:bCs w:val="false"/>
          <w:color w:val="000000"/>
          <w:sz w:val="22"/>
          <w:szCs w:val="22"/>
        </w:rPr>
        <w:t xml:space="preserve">Applicants must address all of the following in the application form:</w:t>
      </w:r>
    </w:p>
    <w:p>
      <w:pPr>
        <w:pStyle w:val="ListParagraph"/>
        <w:numPr>
          <w:ilvl w:val="0"/>
          <w:numId w:val="2"/>
        </w:numPr>
        <w:spacing w:after="40" w:before="40"/>
      </w:pPr>
      <w:r>
        <w:rPr>
          <w:rFonts w:ascii="Arial" w:cs="Arial" w:eastAsia="Arial" w:hAnsi="Arial"/>
          <w:b w:val="false"/>
          <w:bCs w:val="false"/>
          <w:color w:val="000000"/>
          <w:sz w:val="22"/>
          <w:szCs w:val="22"/>
        </w:rPr>
        <w:t xml:space="preserve">Where and how outreach will take place in Dhaka, and how locations will be selected.</w:t>
      </w:r>
    </w:p>
    <w:p>
      <w:pPr>
        <w:pStyle w:val="ListParagraph"/>
        <w:numPr>
          <w:ilvl w:val="0"/>
          <w:numId w:val="2"/>
        </w:numPr>
        <w:spacing w:after="40" w:before="40"/>
      </w:pPr>
      <w:r>
        <w:rPr>
          <w:rFonts w:ascii="Arial" w:cs="Arial" w:eastAsia="Arial" w:hAnsi="Arial"/>
          <w:b w:val="false"/>
          <w:bCs w:val="false"/>
          <w:color w:val="000000"/>
          <w:sz w:val="22"/>
          <w:szCs w:val="22"/>
        </w:rPr>
        <w:t xml:space="preserve">How outreach workers will identify children without exposing them to risk or stigma.</w:t>
      </w:r>
    </w:p>
    <w:p>
      <w:pPr>
        <w:pStyle w:val="ListParagraph"/>
        <w:numPr>
          <w:ilvl w:val="0"/>
          <w:numId w:val="2"/>
        </w:numPr>
        <w:spacing w:after="40" w:before="40"/>
      </w:pPr>
      <w:r>
        <w:rPr>
          <w:rFonts w:ascii="Arial" w:cs="Arial" w:eastAsia="Arial" w:hAnsi="Arial"/>
          <w:b w:val="false"/>
          <w:bCs w:val="false"/>
          <w:color w:val="000000"/>
          <w:sz w:val="22"/>
          <w:szCs w:val="22"/>
        </w:rPr>
        <w:t xml:space="preserve">How outreach workers will manage gender-sensitive engagement with boys, girls and older girls or young women.</w:t>
      </w:r>
    </w:p>
    <w:p>
      <w:pPr>
        <w:pStyle w:val="ListParagraph"/>
        <w:numPr>
          <w:ilvl w:val="0"/>
          <w:numId w:val="2"/>
        </w:numPr>
        <w:spacing w:after="40" w:before="40"/>
      </w:pPr>
      <w:r>
        <w:rPr>
          <w:rFonts w:ascii="Arial" w:cs="Arial" w:eastAsia="Arial" w:hAnsi="Arial"/>
          <w:b w:val="false"/>
          <w:bCs w:val="false"/>
          <w:color w:val="000000"/>
          <w:sz w:val="22"/>
          <w:szCs w:val="22"/>
        </w:rPr>
        <w:t xml:space="preserve">Lone working rules, staff safety procedures, supervision, transport and emergency contact arrangements.</w:t>
      </w:r>
    </w:p>
    <w:p>
      <w:pPr>
        <w:pStyle w:val="ListParagraph"/>
        <w:numPr>
          <w:ilvl w:val="0"/>
          <w:numId w:val="2"/>
        </w:numPr>
        <w:spacing w:after="40" w:before="40"/>
      </w:pPr>
      <w:r>
        <w:rPr>
          <w:rFonts w:ascii="Arial" w:cs="Arial" w:eastAsia="Arial" w:hAnsi="Arial"/>
          <w:b w:val="false"/>
          <w:bCs w:val="false"/>
          <w:color w:val="000000"/>
          <w:sz w:val="22"/>
          <w:szCs w:val="22"/>
        </w:rPr>
        <w:t xml:space="preserve">How outreach links to shelter intake, AKASH, family tracing, referrals and follow-up.</w:t>
      </w:r>
    </w:p>
    <w:p>
      <w:pPr>
        <w:pStyle w:val="ListParagraph"/>
        <w:numPr>
          <w:ilvl w:val="0"/>
          <w:numId w:val="2"/>
        </w:numPr>
        <w:spacing w:after="40" w:before="40"/>
      </w:pPr>
      <w:r>
        <w:rPr>
          <w:rFonts w:ascii="Arial" w:cs="Arial" w:eastAsia="Arial" w:hAnsi="Arial"/>
          <w:b w:val="false"/>
          <w:bCs w:val="false"/>
          <w:color w:val="000000"/>
          <w:sz w:val="22"/>
          <w:szCs w:val="22"/>
        </w:rPr>
        <w:t xml:space="preserve">What records will be kept, including outreach logs, risk screening and referral records.</w:t>
      </w:r>
    </w:p>
    <w:p>
      <w:pPr>
        <w:pStyle w:val="Heading1"/>
        <w:spacing w:after="120" w:before="320"/>
      </w:pPr>
      <w:r>
        <w:rPr>
          <w:rFonts w:ascii="Arial" w:cs="Arial" w:eastAsia="Arial" w:hAnsi="Arial"/>
          <w:b/>
          <w:bCs/>
          <w:color w:val="1F3864"/>
          <w:sz w:val="30"/>
          <w:szCs w:val="30"/>
        </w:rPr>
        <w:t xml:space="preserve">16. Rescue and night shelter</w:t>
      </w:r>
    </w:p>
    <w:p>
      <w:pPr>
        <w:spacing w:after="80" w:before="80"/>
      </w:pPr>
      <w:r>
        <w:rPr>
          <w:rFonts w:ascii="Arial" w:cs="Arial" w:eastAsia="Arial" w:hAnsi="Arial"/>
          <w:b w:val="false"/>
          <w:bCs w:val="false"/>
          <w:color w:val="000000"/>
          <w:sz w:val="22"/>
          <w:szCs w:val="22"/>
        </w:rPr>
        <w:t xml:space="preserve">The rescue and night shelter must provide safe overnight care, immediate protection, stabilisation, assessment, family tracing and referral planning for street-connected children in Dhaka. It must be designed around dignity, safety and casework, not detention or confinement.</w:t>
      </w:r>
    </w:p>
    <w:p>
      <w:pPr>
        <w:spacing w:after="80" w:before="80"/>
      </w:pPr>
      <w:r>
        <w:rPr>
          <w:rFonts w:ascii="Arial" w:cs="Arial" w:eastAsia="Arial" w:hAnsi="Arial"/>
          <w:b w:val="false"/>
          <w:bCs w:val="false"/>
          <w:color w:val="000000"/>
          <w:sz w:val="22"/>
          <w:szCs w:val="22"/>
        </w:rPr>
        <w:t xml:space="preserve">Applicants must explain how the shelter will operate as both a rescue shelter for children needing short-term protection and a night shelter for children needing safe overnight care. They should explain whether children can remain during the day for assessment, AKASH learning, health referral, casework or rest, and how this will be managed safely.</w:t>
      </w:r>
    </w:p>
    <w:p>
      <w:pPr>
        <w:spacing w:after="80" w:before="80"/>
      </w:pPr>
      <w:r>
        <w:rPr>
          <w:rFonts w:ascii="Arial" w:cs="Arial" w:eastAsia="Arial" w:hAnsi="Arial"/>
          <w:b w:val="false"/>
          <w:bCs w:val="false"/>
          <w:color w:val="000000"/>
          <w:sz w:val="22"/>
          <w:szCs w:val="22"/>
        </w:rPr>
        <w:t xml:space="preserve">The shelter must include:</w:t>
      </w:r>
    </w:p>
    <w:p>
      <w:pPr>
        <w:pStyle w:val="ListParagraph"/>
        <w:numPr>
          <w:ilvl w:val="0"/>
          <w:numId w:val="2"/>
        </w:numPr>
        <w:spacing w:after="40" w:before="40"/>
      </w:pPr>
      <w:r>
        <w:rPr>
          <w:rFonts w:ascii="Arial" w:cs="Arial" w:eastAsia="Arial" w:hAnsi="Arial"/>
          <w:b w:val="false"/>
          <w:bCs w:val="false"/>
          <w:color w:val="000000"/>
          <w:sz w:val="22"/>
          <w:szCs w:val="22"/>
        </w:rPr>
        <w:t xml:space="preserve">Separate sleeping arrangements for boys and girls.</w:t>
      </w:r>
    </w:p>
    <w:p>
      <w:pPr>
        <w:pStyle w:val="ListParagraph"/>
        <w:numPr>
          <w:ilvl w:val="0"/>
          <w:numId w:val="2"/>
        </w:numPr>
        <w:spacing w:after="40" w:before="40"/>
      </w:pPr>
      <w:r>
        <w:rPr>
          <w:rFonts w:ascii="Arial" w:cs="Arial" w:eastAsia="Arial" w:hAnsi="Arial"/>
          <w:b w:val="false"/>
          <w:bCs w:val="false"/>
          <w:color w:val="000000"/>
          <w:sz w:val="22"/>
          <w:szCs w:val="22"/>
        </w:rPr>
        <w:t xml:space="preserve">Separation for younger and older children where needed.</w:t>
      </w:r>
    </w:p>
    <w:p>
      <w:pPr>
        <w:pStyle w:val="ListParagraph"/>
        <w:numPr>
          <w:ilvl w:val="0"/>
          <w:numId w:val="2"/>
        </w:numPr>
        <w:spacing w:after="40" w:before="40"/>
      </w:pPr>
      <w:r>
        <w:rPr>
          <w:rFonts w:ascii="Arial" w:cs="Arial" w:eastAsia="Arial" w:hAnsi="Arial"/>
          <w:b w:val="false"/>
          <w:bCs w:val="false"/>
          <w:color w:val="000000"/>
          <w:sz w:val="22"/>
          <w:szCs w:val="22"/>
        </w:rPr>
        <w:t xml:space="preserve">A house mother and an auntie or female care worker, with clear roles, safeguarding training and reporting lines.</w:t>
      </w:r>
    </w:p>
    <w:p>
      <w:pPr>
        <w:pStyle w:val="ListParagraph"/>
        <w:numPr>
          <w:ilvl w:val="0"/>
          <w:numId w:val="2"/>
        </w:numPr>
        <w:spacing w:after="40" w:before="40"/>
      </w:pPr>
      <w:r>
        <w:rPr>
          <w:rFonts w:ascii="Arial" w:cs="Arial" w:eastAsia="Arial" w:hAnsi="Arial"/>
          <w:b w:val="false"/>
          <w:bCs w:val="false"/>
          <w:color w:val="000000"/>
          <w:sz w:val="22"/>
          <w:szCs w:val="22"/>
        </w:rPr>
        <w:t xml:space="preserve">The coordinator based at the shelter with office space for case management, supervision and reporting.</w:t>
      </w:r>
    </w:p>
    <w:p>
      <w:pPr>
        <w:pStyle w:val="ListParagraph"/>
        <w:numPr>
          <w:ilvl w:val="0"/>
          <w:numId w:val="2"/>
        </w:numPr>
        <w:spacing w:after="40" w:before="40"/>
      </w:pPr>
      <w:r>
        <w:rPr>
          <w:rFonts w:ascii="Arial" w:cs="Arial" w:eastAsia="Arial" w:hAnsi="Arial"/>
          <w:b w:val="false"/>
          <w:bCs w:val="false"/>
          <w:color w:val="000000"/>
          <w:sz w:val="22"/>
          <w:szCs w:val="22"/>
        </w:rPr>
        <w:t xml:space="preserve">Arrangements for food, hygiene, washing facilities, clothing support, medical referrals and night supervision.</w:t>
      </w:r>
    </w:p>
    <w:p>
      <w:pPr>
        <w:pStyle w:val="ListParagraph"/>
        <w:numPr>
          <w:ilvl w:val="0"/>
          <w:numId w:val="2"/>
        </w:numPr>
        <w:spacing w:after="40" w:before="40"/>
      </w:pPr>
      <w:r>
        <w:rPr>
          <w:rFonts w:ascii="Arial" w:cs="Arial" w:eastAsia="Arial" w:hAnsi="Arial"/>
          <w:b w:val="false"/>
          <w:bCs w:val="false"/>
          <w:color w:val="000000"/>
          <w:sz w:val="22"/>
          <w:szCs w:val="22"/>
        </w:rPr>
        <w:t xml:space="preserve">Visitor controls, fire safety and emergency procedures.</w:t>
      </w:r>
    </w:p>
    <w:p>
      <w:pPr>
        <w:pStyle w:val="ListParagraph"/>
        <w:numPr>
          <w:ilvl w:val="0"/>
          <w:numId w:val="2"/>
        </w:numPr>
        <w:spacing w:after="40" w:before="40"/>
      </w:pPr>
      <w:r>
        <w:rPr>
          <w:rFonts w:ascii="Arial" w:cs="Arial" w:eastAsia="Arial" w:hAnsi="Arial"/>
          <w:b w:val="false"/>
          <w:bCs w:val="false"/>
          <w:color w:val="000000"/>
          <w:sz w:val="22"/>
          <w:szCs w:val="22"/>
        </w:rPr>
        <w:t xml:space="preserve">A clear explanation of staff cover during the day and night, including gender of staff on duty and how children are supervised overnight.</w:t>
      </w:r>
    </w:p>
    <w:p>
      <w:pPr>
        <w:pStyle w:val="ListParagraph"/>
        <w:numPr>
          <w:ilvl w:val="0"/>
          <w:numId w:val="2"/>
        </w:numPr>
        <w:spacing w:after="40" w:before="40"/>
      </w:pPr>
      <w:r>
        <w:rPr>
          <w:rFonts w:ascii="Arial" w:cs="Arial" w:eastAsia="Arial" w:hAnsi="Arial"/>
          <w:b w:val="false"/>
          <w:bCs w:val="false"/>
          <w:color w:val="000000"/>
          <w:sz w:val="22"/>
          <w:szCs w:val="22"/>
        </w:rPr>
        <w:t xml:space="preserve">A process for what happens if a child becomes distressed, ill, injured, violent, missing or discloses abuse.</w:t>
      </w:r>
    </w:p>
    <w:p>
      <w:pPr>
        <w:pStyle w:val="ListParagraph"/>
        <w:numPr>
          <w:ilvl w:val="0"/>
          <w:numId w:val="2"/>
        </w:numPr>
        <w:spacing w:after="40" w:before="40"/>
      </w:pPr>
      <w:r>
        <w:rPr>
          <w:rFonts w:ascii="Arial" w:cs="Arial" w:eastAsia="Arial" w:hAnsi="Arial"/>
          <w:b w:val="false"/>
          <w:bCs w:val="false"/>
          <w:color w:val="000000"/>
          <w:sz w:val="22"/>
          <w:szCs w:val="22"/>
        </w:rPr>
        <w:t xml:space="preserve">A safe way for children to raise concerns or complaints.</w:t>
      </w:r>
    </w:p>
    <w:p>
      <w:pPr>
        <w:spacing w:after="80" w:before="80"/>
      </w:pPr>
      <w:r>
        <w:rPr>
          <w:rFonts w:ascii="Arial" w:cs="Arial" w:eastAsia="Arial" w:hAnsi="Arial"/>
          <w:b w:val="false"/>
          <w:bCs w:val="false"/>
          <w:color w:val="000000"/>
          <w:sz w:val="22"/>
          <w:szCs w:val="22"/>
        </w:rPr>
        <w:t xml:space="preserve">Applicants must also explain the intake, assessment, 6-week pathway, family tracing, reunification, onward referral and approved extension procedures.</w:t>
      </w:r>
    </w:p>
    <w:p>
      <w:pPr>
        <w:pStyle w:val="Heading1"/>
        <w:spacing w:after="120" w:before="320"/>
      </w:pPr>
      <w:r>
        <w:rPr>
          <w:rFonts w:ascii="Arial" w:cs="Arial" w:eastAsia="Arial" w:hAnsi="Arial"/>
          <w:b/>
          <w:bCs/>
          <w:color w:val="1F3864"/>
          <w:sz w:val="30"/>
          <w:szCs w:val="30"/>
        </w:rPr>
        <w:t xml:space="preserve">17. AKASH open-air school</w:t>
      </w:r>
    </w:p>
    <w:p>
      <w:pPr>
        <w:spacing w:after="80" w:before="80"/>
      </w:pPr>
      <w:r>
        <w:rPr>
          <w:rFonts w:ascii="Arial" w:cs="Arial" w:eastAsia="Arial" w:hAnsi="Arial"/>
          <w:b w:val="false"/>
          <w:bCs w:val="false"/>
          <w:color w:val="000000"/>
          <w:sz w:val="22"/>
          <w:szCs w:val="22"/>
        </w:rPr>
        <w:t xml:space="preserve">AKASH, meaning sky, should be designed as an informal open-air learning and engagement space for street-connected children who are not ready for formal school or shelter-based support. It should support trust-building, basic learning, child rights awareness, safety awareness, hygiene, life skills and informal tracking of children who may later need shelter, referral or family tracing support. AKASH is a bridge between the street, the shelter and wider education pathways; it is not a replacement for formal or non-formal education.</w:t>
      </w:r>
    </w:p>
    <w:p>
      <w:pPr>
        <w:spacing w:after="80" w:before="80"/>
      </w:pPr>
      <w:r>
        <w:rPr>
          <w:rFonts w:ascii="Arial" w:cs="Arial" w:eastAsia="Arial" w:hAnsi="Arial"/>
          <w:b w:val="false"/>
          <w:bCs w:val="false"/>
          <w:color w:val="000000"/>
          <w:sz w:val="22"/>
          <w:szCs w:val="22"/>
        </w:rPr>
        <w:t xml:space="preserve">The programme expects temporary detached sessional teachers to deliver AKASH sessions twice a week, supported by the outreach and shelter team. Applicants must address the following:</w:t>
      </w:r>
    </w:p>
    <w:p>
      <w:pPr>
        <w:pStyle w:val="ListParagraph"/>
        <w:numPr>
          <w:ilvl w:val="0"/>
          <w:numId w:val="2"/>
        </w:numPr>
        <w:spacing w:after="40" w:before="40"/>
      </w:pPr>
      <w:r>
        <w:rPr>
          <w:rFonts w:ascii="Arial" w:cs="Arial" w:eastAsia="Arial" w:hAnsi="Arial"/>
          <w:b w:val="false"/>
          <w:bCs w:val="false"/>
          <w:color w:val="000000"/>
          <w:sz w:val="22"/>
          <w:szCs w:val="22"/>
        </w:rPr>
        <w:t xml:space="preserve">Where AKASH will operate, how it may link to the shelter, and what locations it may use.</w:t>
      </w:r>
    </w:p>
    <w:p>
      <w:pPr>
        <w:pStyle w:val="ListParagraph"/>
        <w:numPr>
          <w:ilvl w:val="0"/>
          <w:numId w:val="2"/>
        </w:numPr>
        <w:spacing w:after="40" w:before="40"/>
      </w:pPr>
      <w:r>
        <w:rPr>
          <w:rFonts w:ascii="Arial" w:cs="Arial" w:eastAsia="Arial" w:hAnsi="Arial"/>
          <w:b w:val="false"/>
          <w:bCs w:val="false"/>
          <w:color w:val="000000"/>
          <w:sz w:val="22"/>
          <w:szCs w:val="22"/>
        </w:rPr>
        <w:t xml:space="preserve">How children will be encouraged to attend without pressure or coercion.</w:t>
      </w:r>
    </w:p>
    <w:p>
      <w:pPr>
        <w:pStyle w:val="ListParagraph"/>
        <w:numPr>
          <w:ilvl w:val="0"/>
          <w:numId w:val="2"/>
        </w:numPr>
        <w:spacing w:after="40" w:before="40"/>
      </w:pPr>
      <w:r>
        <w:rPr>
          <w:rFonts w:ascii="Arial" w:cs="Arial" w:eastAsia="Arial" w:hAnsi="Arial"/>
          <w:b w:val="false"/>
          <w:bCs w:val="false"/>
          <w:color w:val="000000"/>
          <w:sz w:val="22"/>
          <w:szCs w:val="22"/>
        </w:rPr>
        <w:t xml:space="preserve">The basic curriculum, including literacy, numeracy, life skills, hygiene, safety awareness, child rights and creative learning.</w:t>
      </w:r>
    </w:p>
    <w:p>
      <w:pPr>
        <w:pStyle w:val="ListParagraph"/>
        <w:numPr>
          <w:ilvl w:val="0"/>
          <w:numId w:val="2"/>
        </w:numPr>
        <w:spacing w:after="40" w:before="40"/>
      </w:pPr>
      <w:r>
        <w:rPr>
          <w:rFonts w:ascii="Arial" w:cs="Arial" w:eastAsia="Arial" w:hAnsi="Arial"/>
          <w:b w:val="false"/>
          <w:bCs w:val="false"/>
          <w:color w:val="000000"/>
          <w:sz w:val="22"/>
          <w:szCs w:val="22"/>
        </w:rPr>
        <w:t xml:space="preserve">How sessional teachers will be recruited, supervised and trained in safeguarding.</w:t>
      </w:r>
    </w:p>
    <w:p>
      <w:pPr>
        <w:pStyle w:val="ListParagraph"/>
        <w:numPr>
          <w:ilvl w:val="0"/>
          <w:numId w:val="2"/>
        </w:numPr>
        <w:spacing w:after="40" w:before="40"/>
      </w:pPr>
      <w:r>
        <w:rPr>
          <w:rFonts w:ascii="Arial" w:cs="Arial" w:eastAsia="Arial" w:hAnsi="Arial"/>
          <w:b w:val="false"/>
          <w:bCs w:val="false"/>
          <w:color w:val="000000"/>
          <w:sz w:val="22"/>
          <w:szCs w:val="22"/>
        </w:rPr>
        <w:t xml:space="preserve">How attendance, learning progress, disclosures and safeguarding concerns will be recorded and reported.</w:t>
      </w:r>
    </w:p>
    <w:p>
      <w:pPr>
        <w:pStyle w:val="ListParagraph"/>
        <w:numPr>
          <w:ilvl w:val="0"/>
          <w:numId w:val="2"/>
        </w:numPr>
        <w:spacing w:after="40" w:before="40"/>
      </w:pPr>
      <w:r>
        <w:rPr>
          <w:rFonts w:ascii="Arial" w:cs="Arial" w:eastAsia="Arial" w:hAnsi="Arial"/>
          <w:b w:val="false"/>
          <w:bCs w:val="false"/>
          <w:color w:val="000000"/>
          <w:sz w:val="22"/>
          <w:szCs w:val="22"/>
        </w:rPr>
        <w:t xml:space="preserve">How AKASH links to formal or non-formal education referral pathways.</w:t>
      </w:r>
    </w:p>
    <w:p>
      <w:pPr>
        <w:pStyle w:val="Heading1"/>
        <w:spacing w:after="120" w:before="320"/>
      </w:pPr>
      <w:r>
        <w:rPr>
          <w:rFonts w:ascii="Arial" w:cs="Arial" w:eastAsia="Arial" w:hAnsi="Arial"/>
          <w:b/>
          <w:bCs/>
          <w:color w:val="1F3864"/>
          <w:sz w:val="30"/>
          <w:szCs w:val="30"/>
        </w:rPr>
        <w:t xml:space="preserve">18. National Street Children Ambassador, Research and Awareness Programme</w:t>
      </w:r>
    </w:p>
    <w:p>
      <w:pPr>
        <w:spacing w:after="80" w:before="80"/>
      </w:pPr>
      <w:r>
        <w:rPr>
          <w:rFonts w:ascii="Arial" w:cs="Arial" w:eastAsia="Arial" w:hAnsi="Arial"/>
          <w:b w:val="false"/>
          <w:bCs w:val="false"/>
          <w:color w:val="000000"/>
          <w:sz w:val="22"/>
          <w:szCs w:val="22"/>
        </w:rPr>
        <w:t xml:space="preserve">This component is designed to build a national safeguarding and awareness network for street-connected children across Bangladesh. The programme will train Street Children Super Ambassadors each year, who will then return to their own districts and create local awareness around child protection, the risks of street life, prevention and referral pathways.</w:t>
      </w:r>
    </w:p>
    <w:p>
      <w:pPr>
        <w:spacing w:after="80" w:before="80"/>
      </w:pPr>
      <w:r>
        <w:rPr>
          <w:rFonts w:ascii="Arial" w:cs="Arial" w:eastAsia="Arial" w:hAnsi="Arial"/>
          <w:b w:val="false"/>
          <w:bCs w:val="false"/>
          <w:color w:val="000000"/>
          <w:sz w:val="22"/>
          <w:szCs w:val="22"/>
        </w:rPr>
        <w:t xml:space="preserve">The ambassador programme is a structured national volunteer development programme, not a one-off conference. It must be supported by training, materials, certificates, local delivery targets and ongoing coordination. The ambassador programme runs in all three years of the programme.</w:t>
      </w:r>
    </w:p>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Annual ambassador targets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200"/>
        <w:gridCol w:w="2600"/>
        <w:gridCol w:w="2600"/>
        <w:gridCol w:w="2626"/>
      </w:tblGrid>
      <w:tr>
        <w:tc>
          <w:tcPr>
            <w:tcW w:type="dxa" w:w="12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Year</w:t>
            </w:r>
          </w:p>
        </w:tc>
        <w:tc>
          <w:tcPr>
            <w:tcW w:type="dxa" w:w="26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Super Ambassadors</w:t>
            </w:r>
          </w:p>
        </w:tc>
        <w:tc>
          <w:tcPr>
            <w:tcW w:type="dxa" w:w="26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Minimum local trainees per ambassador</w:t>
            </w:r>
          </w:p>
        </w:tc>
        <w:tc>
          <w:tcPr>
            <w:tcW w:type="dxa" w:w="2626"/>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Purpose</w:t>
            </w:r>
          </w:p>
        </w:tc>
      </w:tr>
      <w:tr>
        <w:tc>
          <w:tcPr>
            <w:tcW w:type="dxa" w:w="1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Year 1</w:t>
            </w:r>
          </w:p>
        </w:tc>
        <w:tc>
          <w:tcPr>
            <w:tcW w:type="dxa" w:w="26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100</w:t>
            </w:r>
          </w:p>
        </w:tc>
        <w:tc>
          <w:tcPr>
            <w:tcW w:type="dxa" w:w="26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w:t>
            </w:r>
          </w:p>
        </w:tc>
        <w:tc>
          <w:tcPr>
            <w:tcW w:type="dxa" w:w="26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Establish the national ambassador network and begin school, madrasa and community awareness sessions.</w:t>
            </w:r>
          </w:p>
        </w:tc>
      </w:tr>
      <w:tr>
        <w:tc>
          <w:tcPr>
            <w:tcW w:type="dxa" w:w="1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Year 2</w:t>
            </w:r>
          </w:p>
        </w:tc>
        <w:tc>
          <w:tcPr>
            <w:tcW w:type="dxa" w:w="26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125</w:t>
            </w:r>
          </w:p>
        </w:tc>
        <w:tc>
          <w:tcPr>
            <w:tcW w:type="dxa" w:w="26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w:t>
            </w:r>
          </w:p>
        </w:tc>
        <w:tc>
          <w:tcPr>
            <w:tcW w:type="dxa" w:w="26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Expand the network across more districts and strengthen local delivery.</w:t>
            </w:r>
          </w:p>
        </w:tc>
      </w:tr>
      <w:tr>
        <w:tc>
          <w:tcPr>
            <w:tcW w:type="dxa" w:w="1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Year 3</w:t>
            </w:r>
          </w:p>
        </w:tc>
        <w:tc>
          <w:tcPr>
            <w:tcW w:type="dxa" w:w="26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150</w:t>
            </w:r>
          </w:p>
        </w:tc>
        <w:tc>
          <w:tcPr>
            <w:tcW w:type="dxa" w:w="26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w:t>
            </w:r>
          </w:p>
        </w:tc>
        <w:tc>
          <w:tcPr>
            <w:tcW w:type="dxa" w:w="26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Consolidate the programme and increase national reach.</w:t>
            </w:r>
          </w:p>
        </w:tc>
      </w:tr>
    </w:tbl>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Year 1 reach potential</w:t>
      </w:r>
    </w:p>
    <w:p>
      <w:pPr>
        <w:spacing w:after="80" w:before="80"/>
      </w:pPr>
      <w:r>
        <w:rPr>
          <w:rFonts w:ascii="Arial" w:cs="Arial" w:eastAsia="Arial" w:hAnsi="Arial"/>
          <w:b w:val="false"/>
          <w:bCs w:val="false"/>
          <w:color w:val="000000"/>
          <w:sz w:val="22"/>
          <w:szCs w:val="22"/>
        </w:rPr>
        <w:t xml:space="preserve">The table below illustrates Year 1 reach potential based on the minimum ambassador targets. This is indicative only. Applicants must propose their own realistic targets and explain how they will verify delivery. Verified reach must be supported by documentation. Blackstone Trust will place greater weight on evidence that can be checked than on reach figures that cannot.</w:t>
      </w:r>
    </w:p>
    <w:p>
      <w:pPr>
        <w:spacing w:after="0" w:before="8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00"/>
        <w:gridCol w:w="2200"/>
        <w:gridCol w:w="2326"/>
      </w:tblGrid>
      <w:tr>
        <w:tc>
          <w:tcPr>
            <w:tcW w:type="dxa" w:w="45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Item</w:t>
            </w:r>
          </w:p>
        </w:tc>
        <w:tc>
          <w:tcPr>
            <w:tcW w:type="dxa" w:w="22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Calculation</w:t>
            </w:r>
          </w:p>
        </w:tc>
        <w:tc>
          <w:tcPr>
            <w:tcW w:type="dxa" w:w="2326"/>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Indicative total</w:t>
            </w:r>
          </w:p>
        </w:tc>
      </w:tr>
      <w:tr>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Super Ambassadors trained in Dhaka</w:t>
            </w:r>
          </w:p>
        </w:tc>
        <w:tc>
          <w:tcPr>
            <w:tcW w:type="dxa" w:w="2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100</w:t>
            </w:r>
          </w:p>
        </w:tc>
        <w:tc>
          <w:tcPr>
            <w:tcW w:type="dxa" w:w="23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100</w:t>
            </w:r>
          </w:p>
        </w:tc>
      </w:tr>
      <w:tr>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Local people trained by each ambassador</w:t>
            </w:r>
          </w:p>
        </w:tc>
        <w:tc>
          <w:tcPr>
            <w:tcW w:type="dxa" w:w="2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w:t>
            </w:r>
          </w:p>
        </w:tc>
        <w:tc>
          <w:tcPr>
            <w:tcW w:type="dxa" w:w="23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w:t>
            </w:r>
          </w:p>
        </w:tc>
      </w:tr>
      <w:tr>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Total local trained people</w:t>
            </w:r>
          </w:p>
        </w:tc>
        <w:tc>
          <w:tcPr>
            <w:tcW w:type="dxa" w:w="2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100 x 5</w:t>
            </w:r>
          </w:p>
        </w:tc>
        <w:tc>
          <w:tcPr>
            <w:tcW w:type="dxa" w:w="23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500</w:t>
            </w:r>
          </w:p>
        </w:tc>
      </w:tr>
      <w:tr>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Time for local recruitment and training</w:t>
            </w:r>
          </w:p>
        </w:tc>
        <w:tc>
          <w:tcPr>
            <w:tcW w:type="dxa" w:w="2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 months</w:t>
            </w:r>
          </w:p>
        </w:tc>
        <w:tc>
          <w:tcPr>
            <w:tcW w:type="dxa" w:w="23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3 months</w:t>
            </w:r>
          </w:p>
        </w:tc>
      </w:tr>
      <w:tr>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Active delivery period</w:t>
            </w:r>
          </w:p>
        </w:tc>
        <w:tc>
          <w:tcPr>
            <w:tcW w:type="dxa" w:w="2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12 months minus 3 months</w:t>
            </w:r>
          </w:p>
        </w:tc>
        <w:tc>
          <w:tcPr>
            <w:tcW w:type="dxa" w:w="23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9 months</w:t>
            </w:r>
          </w:p>
        </w:tc>
      </w:tr>
      <w:tr>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Sessions per trained person per month</w:t>
            </w:r>
          </w:p>
        </w:tc>
        <w:tc>
          <w:tcPr>
            <w:tcW w:type="dxa" w:w="2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2 school, madrasa or community sessions</w:t>
            </w:r>
          </w:p>
        </w:tc>
        <w:tc>
          <w:tcPr>
            <w:tcW w:type="dxa" w:w="23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2</w:t>
            </w:r>
          </w:p>
        </w:tc>
      </w:tr>
      <w:tr>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Total sessions per trained person</w:t>
            </w:r>
          </w:p>
        </w:tc>
        <w:tc>
          <w:tcPr>
            <w:tcW w:type="dxa" w:w="2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2 x 9</w:t>
            </w:r>
          </w:p>
        </w:tc>
        <w:tc>
          <w:tcPr>
            <w:tcW w:type="dxa" w:w="23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18</w:t>
            </w:r>
          </w:p>
        </w:tc>
      </w:tr>
      <w:tr>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Total sessions delivered</w:t>
            </w:r>
          </w:p>
        </w:tc>
        <w:tc>
          <w:tcPr>
            <w:tcW w:type="dxa" w:w="2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500 x 18</w:t>
            </w:r>
          </w:p>
        </w:tc>
        <w:tc>
          <w:tcPr>
            <w:tcW w:type="dxa" w:w="23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9,000</w:t>
            </w:r>
          </w:p>
        </w:tc>
      </w:tr>
      <w:tr>
        <w:tc>
          <w:tcPr>
            <w:tcW w:type="dxa" w:w="45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Indicative children reached per session</w:t>
            </w:r>
          </w:p>
        </w:tc>
        <w:tc>
          <w:tcPr>
            <w:tcW w:type="dxa" w:w="22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50 (varies by venue type)</w:t>
            </w:r>
          </w:p>
        </w:tc>
        <w:tc>
          <w:tcPr>
            <w:tcW w:type="dxa" w:w="23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50</w:t>
            </w:r>
          </w:p>
        </w:tc>
      </w:tr>
      <w:tr>
        <w:tc>
          <w:tcPr>
            <w:tcW w:type="dxa" w:w="45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Potential reach (indicative only)</w:t>
            </w:r>
          </w:p>
        </w:tc>
        <w:tc>
          <w:tcPr>
            <w:tcW w:type="dxa" w:w="22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9,000 x 50</w:t>
            </w:r>
          </w:p>
        </w:tc>
        <w:tc>
          <w:tcPr>
            <w:tcW w:type="dxa" w:w="23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450,000</w:t>
            </w:r>
          </w:p>
        </w:tc>
      </w:tr>
    </w:tbl>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Recruitment and shortlisting of ambassadors</w:t>
      </w:r>
    </w:p>
    <w:p>
      <w:pPr>
        <w:spacing w:after="80" w:before="80"/>
      </w:pPr>
      <w:r>
        <w:rPr>
          <w:rFonts w:ascii="Arial" w:cs="Arial" w:eastAsia="Arial" w:hAnsi="Arial"/>
          <w:b w:val="false"/>
          <w:bCs w:val="false"/>
          <w:color w:val="000000"/>
          <w:sz w:val="22"/>
          <w:szCs w:val="22"/>
        </w:rPr>
        <w:t xml:space="preserve">Applicants must explain how they will recruit, shortlist and support ambassadors, including how they will identify suitable candidates, manage safeguarding checks or declarations, and ensure regional and gender balance. The programme may be delivered in partnership with a university in Dhaka or another suitable institution. A university partner is not compulsory, but will be considered advantageous where it can support venue access, dormitory accommodation, training rooms, student engagement or research support.</w:t>
      </w:r>
    </w:p>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Certification and volunteer identity</w:t>
      </w:r>
    </w:p>
    <w:p>
      <w:pPr>
        <w:spacing w:after="80" w:before="80"/>
      </w:pPr>
      <w:r>
        <w:rPr>
          <w:rFonts w:ascii="Arial" w:cs="Arial" w:eastAsia="Arial" w:hAnsi="Arial"/>
          <w:b w:val="false"/>
          <w:bCs w:val="false"/>
          <w:color w:val="000000"/>
          <w:sz w:val="22"/>
          <w:szCs w:val="22"/>
        </w:rPr>
        <w:t xml:space="preserve">Super Ambassadors who complete the training and sign the required safeguarding and conduct commitments will receive a certificate from Blackstone Trust and will be recognised as part of Blackstone Trust's international volunteer network. Applicants should include reasonable costs for ambassador identification and basic mobilisation items in the Financial Proposal, including volunteer ID cards, lanyards, starter kits, printed or digital training materials, attendance sheets, workshop delivery guidance, safeguarding handouts and session reporting forms. The starter kit should be practical and modest.</w:t>
      </w:r>
    </w:p>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Local delivery requirement</w:t>
      </w:r>
    </w:p>
    <w:p>
      <w:pPr>
        <w:spacing w:after="80" w:before="80"/>
      </w:pPr>
      <w:r>
        <w:rPr>
          <w:rFonts w:ascii="Arial" w:cs="Arial" w:eastAsia="Arial" w:hAnsi="Arial"/>
          <w:b w:val="false"/>
          <w:bCs w:val="false"/>
          <w:color w:val="000000"/>
          <w:sz w:val="22"/>
          <w:szCs w:val="22"/>
        </w:rPr>
        <w:t xml:space="preserve">Each Super Ambassador must commit to training at least 5 local people after returning to their own district. Each locally trained person should aim to deliver 2 school, madrasa or community awareness sessions per month during the active delivery period, using approved materials. Applicants must explain how they will coordinate ambassadors after the Dhaka training, provide materials and guidance, verify that local trainees have been trained, track sessions, collect evidence of delivery, manage safeguarding concerns, maintain a national database, and report outputs to Blackstone Trust.</w:t>
      </w:r>
    </w:p>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Role boundaries for ambassadors</w:t>
      </w:r>
    </w:p>
    <w:p>
      <w:pPr>
        <w:spacing w:after="80" w:before="80"/>
      </w:pPr>
      <w:r>
        <w:rPr>
          <w:rFonts w:ascii="Arial" w:cs="Arial" w:eastAsia="Arial" w:hAnsi="Arial"/>
          <w:b w:val="false"/>
          <w:bCs w:val="false"/>
          <w:color w:val="000000"/>
          <w:sz w:val="22"/>
          <w:szCs w:val="22"/>
        </w:rPr>
        <w:t xml:space="preserve">Ambassadors are awareness and referral volunteers. They are not caseworkers, social workers, police officers or rescue workers unless separately qualified, trained, authorised and supervised through the selected NGO. They must not remove children from the street, conduct unsupervised interviews with children, photograph or film children without consent procedures, or investigate abuse allegations themselves. Safeguarding concerns must be reported through agreed referral routes.</w:t>
      </w:r>
    </w:p>
    <w:p>
      <w:pPr>
        <w:pStyle w:val="Heading1"/>
        <w:spacing w:after="120" w:before="320"/>
      </w:pPr>
      <w:r>
        <w:rPr>
          <w:rFonts w:ascii="Arial" w:cs="Arial" w:eastAsia="Arial" w:hAnsi="Arial"/>
          <w:b/>
          <w:bCs/>
          <w:color w:val="1F3864"/>
          <w:sz w:val="30"/>
          <w:szCs w:val="30"/>
        </w:rPr>
        <w:t xml:space="preserve">19. University partner</w:t>
      </w:r>
    </w:p>
    <w:p>
      <w:pPr>
        <w:spacing w:after="80" w:before="80"/>
      </w:pPr>
      <w:r>
        <w:rPr>
          <w:rFonts w:ascii="Arial" w:cs="Arial" w:eastAsia="Arial" w:hAnsi="Arial"/>
          <w:b w:val="false"/>
          <w:bCs w:val="false"/>
          <w:color w:val="000000"/>
          <w:sz w:val="22"/>
          <w:szCs w:val="22"/>
        </w:rPr>
        <w:t xml:space="preserve">A university partner is advantageous where the partner can support training space, dormitory accommodation, student engagement, research advice or programme credibility. Applicants may propose a university partner where they already have a relationship, or may explain how they would identify one after selection. Blackstone Trust does not expect applicants to have every logistical detail finalised at application stage. Applicants must not include speaker fees unless expressly agreed. Realistic costs for venue support, dormitory accommodation, food, materials, transport coordination and event administration may be included where required.</w:t>
      </w:r>
    </w:p>
    <w:p>
      <w:pPr>
        <w:pStyle w:val="Heading1"/>
        <w:spacing w:after="120" w:before="320"/>
      </w:pPr>
      <w:r>
        <w:rPr>
          <w:rFonts w:ascii="Arial" w:cs="Arial" w:eastAsia="Arial" w:hAnsi="Arial"/>
          <w:b/>
          <w:bCs/>
          <w:color w:val="1F3864"/>
          <w:sz w:val="30"/>
          <w:szCs w:val="30"/>
        </w:rPr>
        <w:t xml:space="preserve">20. Street exposure visit and research activity</w:t>
      </w:r>
    </w:p>
    <w:p>
      <w:pPr>
        <w:spacing w:after="80" w:before="80"/>
      </w:pPr>
      <w:r>
        <w:rPr>
          <w:rFonts w:ascii="Arial" w:cs="Arial" w:eastAsia="Arial" w:hAnsi="Arial"/>
          <w:b w:val="false"/>
          <w:bCs w:val="false"/>
          <w:color w:val="000000"/>
          <w:sz w:val="22"/>
          <w:szCs w:val="22"/>
        </w:rPr>
        <w:t xml:space="preserve">The Dhaka ambassador training may include a supervised field learning visit to help participants understand the risks, environments and service gaps affecting street-connected children. This must be planned carefully so that children are not treated as case studies, exposed to intrusive observation, photographed without consent or placed at risk.</w:t>
      </w:r>
    </w:p>
    <w:p>
      <w:pPr>
        <w:spacing w:after="80" w:before="80"/>
      </w:pPr>
      <w:r>
        <w:rPr>
          <w:rFonts w:ascii="Arial" w:cs="Arial" w:eastAsia="Arial" w:hAnsi="Arial"/>
          <w:b w:val="false"/>
          <w:bCs w:val="false"/>
          <w:color w:val="000000"/>
          <w:sz w:val="22"/>
          <w:szCs w:val="22"/>
        </w:rPr>
        <w:t xml:space="preserve">Any research involving children must be safeguarding-led and must comply with applicable national requirements on the protection of children and the handling of personal data. Applicants must explain the safeguarding controls, consent process, supervision and data handling arrangements for any research involving children. Ambassadors must not conduct unsupervised interviews with children, photograph or film children, or investigate safeguarding concerns themselves.</w:t>
      </w:r>
    </w:p>
    <w:p>
      <w:pPr>
        <w:spacing w:after="80" w:before="80"/>
      </w:pPr>
      <w:r>
        <w:rPr>
          <w:rFonts w:ascii="Arial" w:cs="Arial" w:eastAsia="Arial" w:hAnsi="Arial"/>
          <w:b w:val="false"/>
          <w:bCs w:val="false"/>
          <w:color w:val="000000"/>
          <w:sz w:val="22"/>
          <w:szCs w:val="22"/>
        </w:rPr>
        <w:t xml:space="preserve">The research element should be proportionate and suitable for the programme. Applicants may propose community mapping, school or madrasa awareness mapping, service mapping, district-level risk mapping or approved research on street-connected children.</w:t>
      </w:r>
    </w:p>
    <w:p>
      <w:pPr>
        <w:pStyle w:val="Heading1"/>
        <w:spacing w:after="120" w:before="320"/>
      </w:pPr>
      <w:r>
        <w:rPr>
          <w:rFonts w:ascii="Arial" w:cs="Arial" w:eastAsia="Arial" w:hAnsi="Arial"/>
          <w:b/>
          <w:bCs/>
          <w:color w:val="1F3864"/>
          <w:sz w:val="30"/>
          <w:szCs w:val="30"/>
        </w:rPr>
        <w:t xml:space="preserve">21. Collaboration and networking briefings</w:t>
      </w:r>
    </w:p>
    <w:p>
      <w:pPr>
        <w:spacing w:after="80" w:before="80"/>
      </w:pPr>
      <w:r>
        <w:rPr>
          <w:rFonts w:ascii="Arial" w:cs="Arial" w:eastAsia="Arial" w:hAnsi="Arial"/>
          <w:b w:val="false"/>
          <w:bCs w:val="false"/>
          <w:color w:val="000000"/>
          <w:sz w:val="22"/>
          <w:szCs w:val="22"/>
        </w:rPr>
        <w:t xml:space="preserve">The programme must include two collaboration and networking briefings each year with NGOs, sector partners and relevant local organisations working in child protection, street-connected children, education, safeguarding, youth work or community welfare. These are informal tea and coffee sessions designed to build relationships, share learning, identify referral pathways and support practical cooperation.</w:t>
      </w:r>
    </w:p>
    <w:p>
      <w:pPr>
        <w:spacing w:after="80" w:before="80"/>
      </w:pPr>
      <w:r>
        <w:rPr>
          <w:rFonts w:ascii="Arial" w:cs="Arial" w:eastAsia="Arial" w:hAnsi="Arial"/>
          <w:b w:val="false"/>
          <w:bCs w:val="false"/>
          <w:color w:val="000000"/>
          <w:sz w:val="22"/>
          <w:szCs w:val="22"/>
        </w:rPr>
        <w:t xml:space="preserve">These briefings are not formal conferences or policy meetings. Applicants should include only a modest budget for tea, coffee, light snacks, basic materials and coordination. Sensitive individual case discussion must not take place unless there is a proper safeguarding and confidentiality process in place.</w:t>
      </w:r>
    </w:p>
    <w:p>
      <w:pPr>
        <w:spacing w:after="80" w:before="80"/>
      </w:pPr>
      <w:r>
        <w:rPr>
          <w:rFonts w:ascii="Arial" w:cs="Arial" w:eastAsia="Arial" w:hAnsi="Arial"/>
          <w:b w:val="false"/>
          <w:bCs w:val="false"/>
          <w:color w:val="000000"/>
          <w:sz w:val="22"/>
          <w:szCs w:val="22"/>
        </w:rPr>
        <w:t xml:space="preserve">Applicants must explain which organisations or sector partners they would invite, how briefings will support referral pathways, how learning will be recorded and how useful partnership or referral opportunities will be followed up.</w:t>
      </w:r>
    </w:p>
    <w:p>
      <w:pPr>
        <w:pStyle w:val="Heading1"/>
        <w:spacing w:after="120" w:before="320"/>
      </w:pPr>
      <w:r>
        <w:rPr>
          <w:rFonts w:ascii="Arial" w:cs="Arial" w:eastAsia="Arial" w:hAnsi="Arial"/>
          <w:b/>
          <w:bCs/>
          <w:color w:val="1F3864"/>
          <w:sz w:val="30"/>
          <w:szCs w:val="30"/>
        </w:rPr>
        <w:t xml:space="preserve">22. Safeguarding, child protection and data handling</w:t>
      </w:r>
    </w:p>
    <w:p>
      <w:pPr>
        <w:spacing w:after="80" w:before="80"/>
      </w:pPr>
      <w:r>
        <w:rPr>
          <w:rFonts w:ascii="Arial" w:cs="Arial" w:eastAsia="Arial" w:hAnsi="Arial"/>
          <w:b w:val="false"/>
          <w:bCs w:val="false"/>
          <w:color w:val="000000"/>
          <w:sz w:val="22"/>
          <w:szCs w:val="22"/>
        </w:rPr>
        <w:t xml:space="preserve">Safeguarding is a central requirement for this RFP. Applicants must demonstrate child protection in two ways: through written policies and procedures, and through practical delivery arrangements that prevent abuse, exploitation, neglect, misconduct and unsafe practice.</w:t>
      </w:r>
    </w:p>
    <w:p>
      <w:pPr>
        <w:spacing w:after="80" w:before="80"/>
      </w:pPr>
      <w:r>
        <w:rPr>
          <w:rFonts w:ascii="Arial" w:cs="Arial" w:eastAsia="Arial" w:hAnsi="Arial"/>
          <w:b w:val="false"/>
          <w:bCs w:val="false"/>
          <w:color w:val="000000"/>
          <w:sz w:val="22"/>
          <w:szCs w:val="22"/>
        </w:rPr>
        <w:t xml:space="preserve">A strong application will not simply state that the organisation has safeguarding. It will explain how safeguarding will work in detached outreach, the shelter, AKASH, the ambassador programme, research activity, school and madrasa awareness work, collaboration briefings, recruitment, staff supervision and reporting. Applicants must address all of the following:</w:t>
      </w:r>
    </w:p>
    <w:p>
      <w:pPr>
        <w:pStyle w:val="ListParagraph"/>
        <w:numPr>
          <w:ilvl w:val="0"/>
          <w:numId w:val="2"/>
        </w:numPr>
        <w:spacing w:after="40" w:before="40"/>
      </w:pPr>
      <w:r>
        <w:rPr>
          <w:rFonts w:ascii="Arial" w:cs="Arial" w:eastAsia="Arial" w:hAnsi="Arial"/>
          <w:b w:val="false"/>
          <w:bCs w:val="false"/>
          <w:color w:val="000000"/>
          <w:sz w:val="22"/>
          <w:szCs w:val="22"/>
        </w:rPr>
        <w:t xml:space="preserve">Safeguarding and child protection policies (to be provided in the online folder, current version, signed and dated).</w:t>
      </w:r>
    </w:p>
    <w:p>
      <w:pPr>
        <w:pStyle w:val="ListParagraph"/>
        <w:numPr>
          <w:ilvl w:val="0"/>
          <w:numId w:val="2"/>
        </w:numPr>
        <w:spacing w:after="40" w:before="40"/>
      </w:pPr>
      <w:r>
        <w:rPr>
          <w:rFonts w:ascii="Arial" w:cs="Arial" w:eastAsia="Arial" w:hAnsi="Arial"/>
          <w:b w:val="false"/>
          <w:bCs w:val="false"/>
          <w:color w:val="000000"/>
          <w:sz w:val="22"/>
          <w:szCs w:val="22"/>
        </w:rPr>
        <w:t xml:space="preserve">Safer recruitment for all staff, care workers, teachers, volunteers and anyone with child contact.</w:t>
      </w:r>
    </w:p>
    <w:p>
      <w:pPr>
        <w:pStyle w:val="ListParagraph"/>
        <w:numPr>
          <w:ilvl w:val="0"/>
          <w:numId w:val="2"/>
        </w:numPr>
        <w:spacing w:after="40" w:before="40"/>
      </w:pPr>
      <w:r>
        <w:rPr>
          <w:rFonts w:ascii="Arial" w:cs="Arial" w:eastAsia="Arial" w:hAnsi="Arial"/>
          <w:b w:val="false"/>
          <w:bCs w:val="false"/>
          <w:color w:val="000000"/>
          <w:sz w:val="22"/>
          <w:szCs w:val="22"/>
        </w:rPr>
        <w:t xml:space="preserve">Staff code of conduct, supervision, training and disciplinary routes.</w:t>
      </w:r>
    </w:p>
    <w:p>
      <w:pPr>
        <w:pStyle w:val="ListParagraph"/>
        <w:numPr>
          <w:ilvl w:val="0"/>
          <w:numId w:val="2"/>
        </w:numPr>
        <w:spacing w:after="40" w:before="40"/>
      </w:pPr>
      <w:r>
        <w:rPr>
          <w:rFonts w:ascii="Arial" w:cs="Arial" w:eastAsia="Arial" w:hAnsi="Arial"/>
          <w:b w:val="false"/>
          <w:bCs w:val="false"/>
          <w:color w:val="000000"/>
          <w:sz w:val="22"/>
          <w:szCs w:val="22"/>
        </w:rPr>
        <w:t xml:space="preserve">How children can make complaints or raise concerns safely.</w:t>
      </w:r>
    </w:p>
    <w:p>
      <w:pPr>
        <w:pStyle w:val="ListParagraph"/>
        <w:numPr>
          <w:ilvl w:val="0"/>
          <w:numId w:val="2"/>
        </w:numPr>
        <w:spacing w:after="40" w:before="40"/>
      </w:pPr>
      <w:r>
        <w:rPr>
          <w:rFonts w:ascii="Arial" w:cs="Arial" w:eastAsia="Arial" w:hAnsi="Arial"/>
          <w:b w:val="false"/>
          <w:bCs w:val="false"/>
          <w:color w:val="000000"/>
          <w:sz w:val="22"/>
          <w:szCs w:val="22"/>
        </w:rPr>
        <w:t xml:space="preserve">Serious incident reporting and escalation to Blackstone Trust.</w:t>
      </w:r>
    </w:p>
    <w:p>
      <w:pPr>
        <w:pStyle w:val="ListParagraph"/>
        <w:numPr>
          <w:ilvl w:val="0"/>
          <w:numId w:val="2"/>
        </w:numPr>
        <w:spacing w:after="40" w:before="40"/>
      </w:pPr>
      <w:r>
        <w:rPr>
          <w:rFonts w:ascii="Arial" w:cs="Arial" w:eastAsia="Arial" w:hAnsi="Arial"/>
          <w:b w:val="false"/>
          <w:bCs w:val="false"/>
          <w:color w:val="000000"/>
          <w:sz w:val="22"/>
          <w:szCs w:val="22"/>
        </w:rPr>
        <w:t xml:space="preserve">Controls for photography, filming, social media and public identification of children.</w:t>
      </w:r>
    </w:p>
    <w:p>
      <w:pPr>
        <w:pStyle w:val="ListParagraph"/>
        <w:numPr>
          <w:ilvl w:val="0"/>
          <w:numId w:val="2"/>
        </w:numPr>
        <w:spacing w:after="40" w:before="40"/>
      </w:pPr>
      <w:r>
        <w:rPr>
          <w:rFonts w:ascii="Arial" w:cs="Arial" w:eastAsia="Arial" w:hAnsi="Arial"/>
          <w:b w:val="false"/>
          <w:bCs w:val="false"/>
          <w:color w:val="000000"/>
          <w:sz w:val="22"/>
          <w:szCs w:val="22"/>
        </w:rPr>
        <w:t xml:space="preserve">How the organisation will prevent exploitation, abuse, bullying, neglect, inappropriate relationships, financial abuse, misuse of power and unsafe contact.</w:t>
      </w:r>
    </w:p>
    <w:p>
      <w:pPr>
        <w:pStyle w:val="ListParagraph"/>
        <w:numPr>
          <w:ilvl w:val="0"/>
          <w:numId w:val="2"/>
        </w:numPr>
        <w:spacing w:after="40" w:before="40"/>
      </w:pPr>
      <w:r>
        <w:rPr>
          <w:rFonts w:ascii="Arial" w:cs="Arial" w:eastAsia="Arial" w:hAnsi="Arial"/>
          <w:b w:val="false"/>
          <w:bCs w:val="false"/>
          <w:color w:val="000000"/>
          <w:sz w:val="22"/>
          <w:szCs w:val="22"/>
        </w:rPr>
        <w:t xml:space="preserve">How safeguarding risks will be managed during night shelter activity, transport, home visits, field outreach and ambassador engagement.</w:t>
      </w:r>
    </w:p>
    <w:p>
      <w:pPr>
        <w:pStyle w:val="ListParagraph"/>
        <w:numPr>
          <w:ilvl w:val="0"/>
          <w:numId w:val="2"/>
        </w:numPr>
        <w:spacing w:after="40" w:before="40"/>
      </w:pPr>
      <w:r>
        <w:rPr>
          <w:rFonts w:ascii="Arial" w:cs="Arial" w:eastAsia="Arial" w:hAnsi="Arial"/>
          <w:b w:val="false"/>
          <w:bCs w:val="false"/>
          <w:color w:val="000000"/>
          <w:sz w:val="22"/>
          <w:szCs w:val="22"/>
        </w:rPr>
        <w:t xml:space="preserve">How the organisation will manage a disclosure of abuse, a missing child, an allegation against staff, a bribery request, unauthorised photography or a serious injury.</w:t>
      </w:r>
    </w:p>
    <w:p>
      <w:pPr>
        <w:spacing w:after="0" w:before="12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Data protection and child data handling</w:t>
      </w:r>
    </w:p>
    <w:p>
      <w:pPr>
        <w:spacing w:after="80" w:before="80"/>
      </w:pPr>
      <w:r>
        <w:rPr>
          <w:rFonts w:ascii="Arial" w:cs="Arial" w:eastAsia="Arial" w:hAnsi="Arial"/>
          <w:b w:val="false"/>
          <w:bCs w:val="false"/>
          <w:color w:val="000000"/>
          <w:sz w:val="22"/>
          <w:szCs w:val="22"/>
        </w:rPr>
        <w:t xml:space="preserve">The selected partner must handle all beneficiary data, including case files, shelter registers, outreach records, health information, family details and photographs, in compliance with applicable national legislation governing the protection of personal data and the privacy of children. This is a legal obligation, not only a programme requirement.</w:t>
      </w:r>
    </w:p>
    <w:p>
      <w:pPr>
        <w:spacing w:after="80" w:before="80"/>
      </w:pPr>
      <w:r>
        <w:rPr>
          <w:rFonts w:ascii="Arial" w:cs="Arial" w:eastAsia="Arial" w:hAnsi="Arial"/>
          <w:b w:val="false"/>
          <w:bCs w:val="false"/>
          <w:color w:val="000000"/>
          <w:sz w:val="22"/>
          <w:szCs w:val="22"/>
        </w:rPr>
        <w:t xml:space="preserve">Child data must be stored securely and limited to authorised staff. It must not be shared with third parties without clear justification and appropriate safeguards. Photographs and video of children must be managed under the organisation's photography and media consent policy and must not be posted on social media, used in public communications or shared outside the programme without written approval from Blackstone Trust. Research data involving children must be anonymised wherever possible, and data that could identify individual children must not be exported from Bangladesh in any form without specific legal and organisational authority.</w:t>
      </w:r>
    </w:p>
    <w:p>
      <w:pPr>
        <w:spacing w:after="80" w:before="80"/>
      </w:pPr>
      <w:r>
        <w:rPr>
          <w:rFonts w:ascii="Arial" w:cs="Arial" w:eastAsia="Arial" w:hAnsi="Arial"/>
          <w:b w:val="false"/>
          <w:bCs w:val="false"/>
          <w:color w:val="000000"/>
          <w:sz w:val="22"/>
          <w:szCs w:val="22"/>
        </w:rPr>
        <w:t xml:space="preserve">Applicants must explain in the application form how they will manage, store, protect and eventually dispose of or archive child data throughout the three-year programme period and after its end.</w:t>
      </w:r>
    </w:p>
    <w:p>
      <w:pPr>
        <w:pStyle w:val="Heading1"/>
        <w:spacing w:after="120" w:before="320"/>
      </w:pPr>
      <w:r>
        <w:rPr>
          <w:rFonts w:ascii="Arial" w:cs="Arial" w:eastAsia="Arial" w:hAnsi="Arial"/>
          <w:b/>
          <w:bCs/>
          <w:color w:val="1F3864"/>
          <w:sz w:val="30"/>
          <w:szCs w:val="30"/>
        </w:rPr>
        <w:t xml:space="preserve">23. Monitoring, evidence and learning</w:t>
      </w:r>
    </w:p>
    <w:p>
      <w:pPr>
        <w:spacing w:after="80" w:before="80"/>
      </w:pPr>
      <w:r>
        <w:rPr>
          <w:rFonts w:ascii="Arial" w:cs="Arial" w:eastAsia="Arial" w:hAnsi="Arial"/>
          <w:b w:val="false"/>
          <w:bCs w:val="false"/>
          <w:color w:val="000000"/>
          <w:sz w:val="22"/>
          <w:szCs w:val="22"/>
        </w:rPr>
        <w:t xml:space="preserve">Blackstone Trust expects the selected partner to maintain clear records and provide evidence of delivery throughout the programme. Monitoring must be practical, consistent and safeguarding-led. Applicants must explain how they will collect, verify, store and report evidence without placing children at risk or unnecessarily exposing their identity.</w:t>
      </w:r>
    </w:p>
    <w:p>
      <w:pPr>
        <w:spacing w:after="80" w:before="80"/>
      </w:pPr>
      <w:r>
        <w:rPr>
          <w:rFonts w:ascii="Arial" w:cs="Arial" w:eastAsia="Arial" w:hAnsi="Arial"/>
          <w:b w:val="false"/>
          <w:bCs w:val="false"/>
          <w:color w:val="000000"/>
          <w:sz w:val="22"/>
          <w:szCs w:val="22"/>
        </w:rPr>
        <w:t xml:space="preserve">Strong evidence includes case records, attendance sheets, outreach logs, referral records, shelter registers, anonymised case summaries, school confirmation forms, training registers, session reports, financial records and safeguarding reports. Blackstone Trust is not looking for reporting that relies only on photographs or general updates.</w:t>
      </w:r>
    </w:p>
    <w:p>
      <w:pPr>
        <w:spacing w:after="80" w:before="80"/>
      </w:pPr>
      <w:r>
        <w:rPr>
          <w:rFonts w:ascii="Arial" w:cs="Arial" w:eastAsia="Arial" w:hAnsi="Arial"/>
          <w:b w:val="false"/>
          <w:bCs w:val="false"/>
          <w:color w:val="000000"/>
          <w:sz w:val="22"/>
          <w:szCs w:val="22"/>
        </w:rPr>
        <w:t xml:space="preserve">Applicants should explain how evidence will be checked for accuracy. Ambassador and school session delivery must not rely solely on self-reporting. Applicants should propose simple verification methods such as sample calls to schools, signed session forms, supervisor checks, spot checks and periodic record reviews.</w:t>
      </w:r>
    </w:p>
    <w:p>
      <w:pPr>
        <w:spacing w:after="80" w:before="80"/>
      </w:pPr>
      <w:r>
        <w:rPr>
          <w:rFonts w:ascii="Arial" w:cs="Arial" w:eastAsia="Arial" w:hAnsi="Arial"/>
          <w:b w:val="false"/>
          <w:bCs w:val="false"/>
          <w:color w:val="000000"/>
          <w:sz w:val="22"/>
          <w:szCs w:val="22"/>
        </w:rPr>
        <w:t xml:space="preserve">Photographs and videos must not be treated as the main evidence of delivery. Where photographs are used, applicants must explain how consent, dignity, privacy and applicable data protection requirements will be managed.</w:t>
      </w:r>
    </w:p>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Reporting expectations</w:t>
      </w:r>
    </w:p>
    <w:p>
      <w:pPr>
        <w:spacing w:after="80" w:before="80"/>
      </w:pPr>
      <w:r>
        <w:rPr>
          <w:rFonts w:ascii="Arial" w:cs="Arial" w:eastAsia="Arial" w:hAnsi="Arial"/>
          <w:b w:val="false"/>
          <w:bCs w:val="false"/>
          <w:color w:val="000000"/>
          <w:sz w:val="22"/>
          <w:szCs w:val="22"/>
        </w:rPr>
        <w:t xml:space="preserve">Applicants should propose a reporting structure that includes: monthly activity reports; monthly safeguarding updates; monthly finance summaries; quarterly review reports (delivery progress, safeguarding, budget position, risks and changes needed); annual learning reports; final year-end reports; and immediate serious incident notifications when required.</w:t>
      </w:r>
    </w:p>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Learning and improvement</w:t>
      </w:r>
    </w:p>
    <w:p>
      <w:pPr>
        <w:spacing w:after="80" w:before="80"/>
      </w:pPr>
      <w:r>
        <w:rPr>
          <w:rFonts w:ascii="Arial" w:cs="Arial" w:eastAsia="Arial" w:hAnsi="Arial"/>
          <w:b w:val="false"/>
          <w:bCs w:val="false"/>
          <w:color w:val="000000"/>
          <w:sz w:val="22"/>
          <w:szCs w:val="22"/>
        </w:rPr>
        <w:t xml:space="preserve">Blackstone Trust expects the programme to improve over time. Applicants should explain how learning from outreach, shelter cases, AKASH sessions, ambassador activity, research and collaboration briefings will be used to refine delivery. This should include case review meetings, staff supervision, review of safeguarding concerns, feedback from children where safe and appropriate, feedback from families, schools and madrasas, annual review of the 6-week pathway and evidence-based changes to delivery.</w:t>
      </w:r>
    </w:p>
    <w:p>
      <w:pPr>
        <w:pStyle w:val="Heading1"/>
        <w:spacing w:after="120" w:before="320"/>
      </w:pPr>
      <w:r>
        <w:rPr>
          <w:rFonts w:ascii="Arial" w:cs="Arial" w:eastAsia="Arial" w:hAnsi="Arial"/>
          <w:b/>
          <w:bCs/>
          <w:color w:val="1F3864"/>
          <w:sz w:val="30"/>
          <w:szCs w:val="30"/>
        </w:rPr>
        <w:t xml:space="preserve">24. Expected outcomes and applicant targets</w:t>
      </w:r>
    </w:p>
    <w:p>
      <w:pPr>
        <w:spacing w:after="80" w:before="80"/>
      </w:pPr>
      <w:r>
        <w:rPr>
          <w:rFonts w:ascii="Arial" w:cs="Arial" w:eastAsia="Arial" w:hAnsi="Arial"/>
          <w:b w:val="false"/>
          <w:bCs w:val="false"/>
          <w:color w:val="000000"/>
          <w:sz w:val="22"/>
          <w:szCs w:val="22"/>
        </w:rPr>
        <w:t xml:space="preserve">Applicants must explain the outcomes they expect to achieve and the evidence they will provide. Blackstone Trust is looking for tangible, evidence-based outcomes rather than activity lists alone. Applicants should explain what will change for children, how change will be measured and what records will verify it.</w:t>
      </w:r>
    </w:p>
    <w:p>
      <w:pPr>
        <w:spacing w:after="80" w:before="80"/>
      </w:pPr>
      <w:r>
        <w:rPr>
          <w:rFonts w:ascii="Arial" w:cs="Arial" w:eastAsia="Arial" w:hAnsi="Arial"/>
          <w:b w:val="false"/>
          <w:bCs w:val="false"/>
          <w:color w:val="000000"/>
          <w:sz w:val="22"/>
          <w:szCs w:val="22"/>
        </w:rPr>
        <w:t xml:space="preserve">The table below sets out the areas where applicants should propose Year 1 targets. Blackstone Trust does not expect inflated numbers. Applicants should propose targets that match their staffing, premises, safeguarding controls and budget.</w:t>
      </w:r>
    </w:p>
    <w:p>
      <w:pPr>
        <w:spacing w:after="0" w:before="8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000"/>
        <w:gridCol w:w="3000"/>
        <w:gridCol w:w="2026"/>
      </w:tblGrid>
      <w:tr>
        <w:tc>
          <w:tcPr>
            <w:tcW w:type="dxa" w:w="40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Target area</w:t>
            </w:r>
          </w:p>
        </w:tc>
        <w:tc>
          <w:tcPr>
            <w:tcW w:type="dxa" w:w="30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Applicant should propose</w:t>
            </w:r>
          </w:p>
        </w:tc>
        <w:tc>
          <w:tcPr>
            <w:tcW w:type="dxa" w:w="2026"/>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Evidence expected</w:t>
            </w:r>
          </w:p>
        </w:tc>
      </w:tr>
      <w:tr>
        <w:tc>
          <w:tcPr>
            <w:tcW w:type="dxa" w:w="4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Children reached through detached outreach</w:t>
            </w:r>
          </w:p>
        </w:tc>
        <w:tc>
          <w:tcPr>
            <w:tcW w:type="dxa" w:w="3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Number contacted and recorded through outreach</w:t>
            </w:r>
          </w:p>
        </w:tc>
        <w:tc>
          <w:tcPr>
            <w:tcW w:type="dxa" w:w="2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Outreach logs, location records, risk screenings</w:t>
            </w:r>
          </w:p>
        </w:tc>
      </w:tr>
      <w:tr>
        <w:tc>
          <w:tcPr>
            <w:tcW w:type="dxa" w:w="4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Children admitted to shelter</w:t>
            </w:r>
          </w:p>
        </w:tc>
        <w:tc>
          <w:tcPr>
            <w:tcW w:type="dxa" w:w="3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Number of short-stay, rescue or night shelter admissions</w:t>
            </w:r>
          </w:p>
        </w:tc>
        <w:tc>
          <w:tcPr>
            <w:tcW w:type="dxa" w:w="2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Shelter intake records, case files</w:t>
            </w:r>
          </w:p>
        </w:tc>
      </w:tr>
      <w:tr>
        <w:tc>
          <w:tcPr>
            <w:tcW w:type="dxa" w:w="4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Children completing the 6-week pathway</w:t>
            </w:r>
          </w:p>
        </w:tc>
        <w:tc>
          <w:tcPr>
            <w:tcW w:type="dxa" w:w="3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Number completing assessment, tracing and transition planning</w:t>
            </w:r>
          </w:p>
        </w:tc>
        <w:tc>
          <w:tcPr>
            <w:tcW w:type="dxa" w:w="2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Case files, pathway records, exit notes</w:t>
            </w:r>
          </w:p>
        </w:tc>
      </w:tr>
      <w:tr>
        <w:tc>
          <w:tcPr>
            <w:tcW w:type="dxa" w:w="4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Children safely reunified</w:t>
            </w:r>
          </w:p>
        </w:tc>
        <w:tc>
          <w:tcPr>
            <w:tcW w:type="dxa" w:w="3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Number reunified after safety assessment</w:t>
            </w:r>
          </w:p>
        </w:tc>
        <w:tc>
          <w:tcPr>
            <w:tcW w:type="dxa" w:w="2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Reunification records, follow-up checks</w:t>
            </w:r>
          </w:p>
        </w:tc>
      </w:tr>
      <w:tr>
        <w:tc>
          <w:tcPr>
            <w:tcW w:type="dxa" w:w="4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Children referred onwards</w:t>
            </w:r>
          </w:p>
        </w:tc>
        <w:tc>
          <w:tcPr>
            <w:tcW w:type="dxa" w:w="3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Number referred where reunification is unsafe or not possible</w:t>
            </w:r>
          </w:p>
        </w:tc>
        <w:tc>
          <w:tcPr>
            <w:tcW w:type="dxa" w:w="2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Referral records, partner confirmation</w:t>
            </w:r>
          </w:p>
        </w:tc>
      </w:tr>
      <w:tr>
        <w:tc>
          <w:tcPr>
            <w:tcW w:type="dxa" w:w="4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Children attending AKASH</w:t>
            </w:r>
          </w:p>
        </w:tc>
        <w:tc>
          <w:tcPr>
            <w:tcW w:type="dxa" w:w="3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Number attending informal learning sessions</w:t>
            </w:r>
          </w:p>
        </w:tc>
        <w:tc>
          <w:tcPr>
            <w:tcW w:type="dxa" w:w="2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Attendance records, session plans</w:t>
            </w:r>
          </w:p>
        </w:tc>
      </w:tr>
      <w:tr>
        <w:tc>
          <w:tcPr>
            <w:tcW w:type="dxa" w:w="4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Children referred to education</w:t>
            </w:r>
          </w:p>
        </w:tc>
        <w:tc>
          <w:tcPr>
            <w:tcW w:type="dxa" w:w="3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Number referred to formal or non-formal education</w:t>
            </w:r>
          </w:p>
        </w:tc>
        <w:tc>
          <w:tcPr>
            <w:tcW w:type="dxa" w:w="2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Referral records, school or partner confirmation</w:t>
            </w:r>
          </w:p>
        </w:tc>
      </w:tr>
      <w:tr>
        <w:tc>
          <w:tcPr>
            <w:tcW w:type="dxa" w:w="4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Ambassadors trained and certified</w:t>
            </w:r>
          </w:p>
        </w:tc>
        <w:tc>
          <w:tcPr>
            <w:tcW w:type="dxa" w:w="3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Number trained, signed declarations, issued certificates</w:t>
            </w:r>
          </w:p>
        </w:tc>
        <w:tc>
          <w:tcPr>
            <w:tcW w:type="dxa" w:w="2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Training register, certificates issued, declarations</w:t>
            </w:r>
          </w:p>
        </w:tc>
      </w:tr>
      <w:tr>
        <w:tc>
          <w:tcPr>
            <w:tcW w:type="dxa" w:w="4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Local trainees per ambassador</w:t>
            </w:r>
          </w:p>
        </w:tc>
        <w:tc>
          <w:tcPr>
            <w:tcW w:type="dxa" w:w="3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Minimum 5 per ambassador</w:t>
            </w:r>
          </w:p>
        </w:tc>
        <w:tc>
          <w:tcPr>
            <w:tcW w:type="dxa" w:w="2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Local training registers, materials distributed</w:t>
            </w:r>
          </w:p>
        </w:tc>
      </w:tr>
      <w:tr>
        <w:tc>
          <w:tcPr>
            <w:tcW w:type="dxa" w:w="4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School, madrasa and community sessions</w:t>
            </w:r>
          </w:p>
        </w:tc>
        <w:tc>
          <w:tcPr>
            <w:tcW w:type="dxa" w:w="3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Number of verified awareness sessions delivered</w:t>
            </w:r>
          </w:p>
        </w:tc>
        <w:tc>
          <w:tcPr>
            <w:tcW w:type="dxa" w:w="2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Session reports, venue confirmation, trainer name, date</w:t>
            </w:r>
          </w:p>
        </w:tc>
      </w:tr>
      <w:tr>
        <w:tc>
          <w:tcPr>
            <w:tcW w:type="dxa" w:w="4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Safeguarding incidents managed</w:t>
            </w:r>
          </w:p>
        </w:tc>
        <w:tc>
          <w:tcPr>
            <w:tcW w:type="dxa" w:w="3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Number identified, reported and resolved</w:t>
            </w:r>
          </w:p>
        </w:tc>
        <w:tc>
          <w:tcPr>
            <w:tcW w:type="dxa" w:w="2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Incident logs, escalation records, closure notes</w:t>
            </w:r>
          </w:p>
        </w:tc>
      </w:tr>
    </w:tbl>
    <w:p>
      <w:pPr>
        <w:pStyle w:val="Heading1"/>
        <w:spacing w:after="120" w:before="320"/>
      </w:pPr>
      <w:r>
        <w:rPr>
          <w:rFonts w:ascii="Arial" w:cs="Arial" w:eastAsia="Arial" w:hAnsi="Arial"/>
          <w:b/>
          <w:bCs/>
          <w:color w:val="1F3864"/>
          <w:sz w:val="30"/>
          <w:szCs w:val="30"/>
        </w:rPr>
        <w:t xml:space="preserve">25. Finance, costing and value for money</w:t>
      </w:r>
    </w:p>
    <w:p>
      <w:pPr>
        <w:spacing w:after="80" w:before="80"/>
      </w:pPr>
      <w:r>
        <w:rPr>
          <w:rFonts w:ascii="Arial" w:cs="Arial" w:eastAsia="Arial" w:hAnsi="Arial"/>
          <w:b w:val="false"/>
          <w:bCs w:val="false"/>
          <w:color w:val="000000"/>
          <w:sz w:val="22"/>
          <w:szCs w:val="22"/>
        </w:rPr>
        <w:t xml:space="preserve">Blackstone Trust has not set a fixed award amount for this RFP. Applicants should submit a realistic and cost-conscious Financial Proposal based on the delivery model described in these guidance notes. Proposals will be assessed on value for money, safeguarding, operational realism, evidence quality and the applicant's ability to deliver safely. Applicants should not inflate costs to match an assumed budget, and should not reduce costs in a way that compromises child protection, shelter safety, staffing, food, monitoring or programme quality.</w:t>
      </w:r>
    </w:p>
    <w:p>
      <w:pPr>
        <w:spacing w:after="80" w:before="80"/>
      </w:pPr>
      <w:r>
        <w:rPr>
          <w:rFonts w:ascii="Arial" w:cs="Arial" w:eastAsia="Arial" w:hAnsi="Arial"/>
          <w:b w:val="false"/>
          <w:bCs w:val="false"/>
          <w:color w:val="000000"/>
          <w:sz w:val="22"/>
          <w:szCs w:val="22"/>
        </w:rPr>
        <w:t xml:space="preserve">Blackstone Trust has carried out internal benchmarking of expected programme costs in Bangladesh, including staffing, shelter operations, food, outreach, informal education, volunteer coordination and safeguarding-related delivery. Blackstone Trust has practical experience of working in this area, and is familiar with reasonable cost ranges for the main posts and activities in this programme. Applicants are therefore expected to provide costs that are reasonable, proportionate and within the normal scope of delivery for this type of work. Any unusually high, low or unclear cost should be explained in the Financial Proposal.</w:t>
      </w:r>
    </w:p>
    <w:p>
      <w:pPr>
        <w:spacing w:after="80" w:before="80"/>
      </w:pPr>
      <w:r>
        <w:rPr>
          <w:rFonts w:ascii="Arial" w:cs="Arial" w:eastAsia="Arial" w:hAnsi="Arial"/>
          <w:b w:val="false"/>
          <w:bCs w:val="false"/>
          <w:color w:val="000000"/>
          <w:sz w:val="22"/>
          <w:szCs w:val="22"/>
        </w:rPr>
        <w:t xml:space="preserve">Applicants should clearly identify any existing premises, staff contribution, university support, donated venue space, local fundraising, in-kind food support, volunteer contribution or discounted services that reduce the amount requested from Blackstone Trust. Local or in-kind contributions should be recorded separately so the full value of the programme can be understood.</w:t>
      </w:r>
    </w:p>
    <w:p>
      <w:pPr>
        <w:spacing w:after="80" w:before="80"/>
      </w:pPr>
      <w:r>
        <w:rPr>
          <w:rFonts w:ascii="Arial" w:cs="Arial" w:eastAsia="Arial" w:hAnsi="Arial"/>
          <w:b w:val="false"/>
          <w:bCs w:val="false"/>
          <w:color w:val="000000"/>
          <w:sz w:val="22"/>
          <w:szCs w:val="22"/>
        </w:rPr>
        <w:t xml:space="preserve">Applicants will score higher where they can demonstrate genuine in-kind support, local fundraising, donated services, subsidised premises, university support, community food contributions, volunteer time or other local contributions that reduce the amount requested from Blackstone Trust without weakening safeguarding or delivery quality.</w:t>
      </w:r>
    </w:p>
    <w:p>
      <w:pPr>
        <w:spacing w:after="80" w:before="80"/>
      </w:pPr>
      <w:r>
        <w:rPr>
          <w:rFonts w:ascii="Arial" w:cs="Arial" w:eastAsia="Arial" w:hAnsi="Arial"/>
          <w:b w:val="false"/>
          <w:bCs w:val="false"/>
          <w:color w:val="000000"/>
          <w:sz w:val="22"/>
          <w:szCs w:val="22"/>
        </w:rPr>
        <w:t xml:space="preserve">Any in-kind or locally raised contribution should be evidence-based. Applicants should explain what the contribution is, who will provide it, the estimated value in BDT, whether it is confirmed or expected, and how it will be recorded during delivery. Examples may include donated food, discounted rent, free or subsidised training space, volunteer support, university dormitory access, printing support, hygiene items, clothing, transport support or professional services.</w:t>
      </w:r>
    </w:p>
    <w:p>
      <w:pPr>
        <w:spacing w:after="80" w:before="80"/>
      </w:pPr>
      <w:r>
        <w:rPr>
          <w:rFonts w:ascii="Arial" w:cs="Arial" w:eastAsia="Arial" w:hAnsi="Arial"/>
          <w:b w:val="false"/>
          <w:bCs w:val="false"/>
          <w:color w:val="000000"/>
          <w:sz w:val="22"/>
          <w:szCs w:val="22"/>
        </w:rPr>
        <w:t xml:space="preserve">Blackstone Trust will view genuine local contribution positively because it shows community ownership, value for money and the applicant's ability to mobilise local support. However, local contribution must be managed safely and transparently. Children must not be used to fundraise, collect donations, appear in promotional material, or engage donors without proper safeguarding, consent and approval.</w:t>
      </w:r>
    </w:p>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Audit and financial compliance</w:t>
      </w:r>
    </w:p>
    <w:p>
      <w:pPr>
        <w:spacing w:after="80" w:before="80"/>
      </w:pPr>
      <w:r>
        <w:rPr>
          <w:rFonts w:ascii="Arial" w:cs="Arial" w:eastAsia="Arial" w:hAnsi="Arial"/>
          <w:b w:val="false"/>
          <w:bCs w:val="false"/>
          <w:color w:val="000000"/>
          <w:sz w:val="22"/>
          <w:szCs w:val="22"/>
        </w:rPr>
        <w:t xml:space="preserve">The selected partner must maintain auditable programme financial records in compliance with applicable national requirements governing foreign-funded NGO accounts. An independent audit of programme expenditure must be completed at the end of each project year by a qualified auditor acceptable to the relevant national regulatory authority. Audit reports must be submitted to Blackstone Trust within 30 days of completion. The cost of the annual audit should be included in the Financial Proposal. Blackstone Trust reserves the right to conduct financial verification visits, spot checks or documentation reviews at any point during the programme with reasonable notice.</w:t>
      </w:r>
    </w:p>
    <w:p>
      <w:pPr>
        <w:spacing w:after="0" w:before="80"/>
      </w:pPr>
      <w:r>
        <w:rPr>
          <w:rFonts w:ascii="Arial" w:cs="Arial" w:eastAsia="Arial" w:hAnsi="Arial"/>
          <w:sz w:val="22"/>
          <w:szCs w:val="22"/>
        </w:rPr>
        <w:t xml:space="preserve"/>
      </w:r>
    </w:p>
    <w:p>
      <w:pPr>
        <w:pStyle w:val="Heading2"/>
        <w:spacing w:after="80" w:before="200"/>
      </w:pPr>
      <w:r>
        <w:rPr>
          <w:rFonts w:ascii="Arial" w:cs="Arial" w:eastAsia="Arial" w:hAnsi="Arial"/>
          <w:b/>
          <w:bCs/>
          <w:color w:val="2E75B6"/>
          <w:sz w:val="24"/>
          <w:szCs w:val="24"/>
        </w:rPr>
        <w:t xml:space="preserve">Budget categories</w:t>
      </w:r>
    </w:p>
    <w:p>
      <w:pPr>
        <w:spacing w:after="80" w:before="80"/>
      </w:pPr>
      <w:r>
        <w:rPr>
          <w:rFonts w:ascii="Arial" w:cs="Arial" w:eastAsia="Arial" w:hAnsi="Arial"/>
          <w:b w:val="false"/>
          <w:bCs w:val="false"/>
          <w:color w:val="000000"/>
          <w:sz w:val="22"/>
          <w:szCs w:val="22"/>
        </w:rPr>
        <w:t xml:space="preserve">Applicants must complete the separate Financial Proposal using an exchange rate of £1 equals 155 BDT. This rate is for costing purposes only; actual disbursement rates may vary. The budget must be realistic and must reflect the cost of safe, compliant and credible delivery. The application form must include a budget narrative explaining the main assumptions.</w:t>
      </w:r>
    </w:p>
    <w:p>
      <w:pPr>
        <w:spacing w:after="0" w:before="8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Financial Proposal category</w:t>
            </w:r>
          </w:p>
        </w:tc>
        <w:tc>
          <w:tcPr>
            <w:tcW w:type="dxa" w:w="6226"/>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Examples of costs to consider</w:t>
            </w:r>
          </w:p>
        </w:tc>
      </w:tr>
      <w:tr>
        <w:tc>
          <w:tcPr>
            <w:tcW w:type="dxa" w:w="28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Detached Outreach</w:t>
            </w:r>
          </w:p>
        </w:tc>
        <w:tc>
          <w:tcPr>
            <w:tcW w:type="dxa" w:w="62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Male and female outreach workers, transport, field materials, communication, supervision, staff safety and outreach records.</w:t>
            </w:r>
          </w:p>
        </w:tc>
      </w:tr>
      <w:tr>
        <w:tc>
          <w:tcPr>
            <w:tcW w:type="dxa" w:w="28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Rescue and Night Shelter</w:t>
            </w:r>
          </w:p>
        </w:tc>
        <w:tc>
          <w:tcPr>
            <w:tcW w:type="dxa" w:w="62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Rent, utilities, food, hygiene supplies, bedding, shelter staff, coordinator office, night supervision, safety equipment, repairs and basic care costs.</w:t>
            </w:r>
          </w:p>
        </w:tc>
      </w:tr>
      <w:tr>
        <w:tc>
          <w:tcPr>
            <w:tcW w:type="dxa" w:w="28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AKASH Open-Air School</w:t>
            </w:r>
          </w:p>
        </w:tc>
        <w:tc>
          <w:tcPr>
            <w:tcW w:type="dxa" w:w="62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Sessional teachers twice a week, learning materials, attendance records, transport, safe spaces and basic education resources.</w:t>
            </w:r>
          </w:p>
        </w:tc>
      </w:tr>
      <w:tr>
        <w:tc>
          <w:tcPr>
            <w:tcW w:type="dxa" w:w="28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Ambassador, Research and Awareness Programme</w:t>
            </w:r>
          </w:p>
        </w:tc>
        <w:tc>
          <w:tcPr>
            <w:tcW w:type="dxa" w:w="62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Recruitment, Dhaka training weekend, accommodation, food, materials, certificates, volunteer ID cards, lanyards, starter kits, database management, local training support and monitoring.</w:t>
            </w:r>
          </w:p>
        </w:tc>
      </w:tr>
      <w:tr>
        <w:tc>
          <w:tcPr>
            <w:tcW w:type="dxa" w:w="28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Collaboration and Networking Briefings</w:t>
            </w:r>
          </w:p>
        </w:tc>
        <w:tc>
          <w:tcPr>
            <w:tcW w:type="dxa" w:w="62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Tea, coffee, light snacks, basic printed materials, venue support if required and coordination.</w:t>
            </w:r>
          </w:p>
        </w:tc>
      </w:tr>
      <w:tr>
        <w:tc>
          <w:tcPr>
            <w:tcW w:type="dxa" w:w="28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Safeguarding, Governance and Monitoring</w:t>
            </w:r>
          </w:p>
        </w:tc>
        <w:tc>
          <w:tcPr>
            <w:tcW w:type="dxa" w:w="62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Training, supervision, reporting, data protection, case management tools, monitoring visits, annual audit and staff time.</w:t>
            </w:r>
          </w:p>
        </w:tc>
      </w:tr>
      <w:tr>
        <w:tc>
          <w:tcPr>
            <w:tcW w:type="dxa" w:w="28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Administration and shared costs</w:t>
            </w:r>
          </w:p>
        </w:tc>
        <w:tc>
          <w:tcPr>
            <w:tcW w:type="dxa" w:w="62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Finance support, office costs, communication, management oversight and shared programme administration.</w:t>
            </w:r>
          </w:p>
        </w:tc>
      </w:tr>
    </w:tbl>
    <w:p>
      <w:pPr>
        <w:spacing w:after="0" w:before="80"/>
      </w:pPr>
      <w:r>
        <w:rPr>
          <w:rFonts w:ascii="Arial" w:cs="Arial" w:eastAsia="Arial" w:hAnsi="Arial"/>
          <w:sz w:val="22"/>
          <w:szCs w:val="22"/>
        </w:rPr>
        <w:t xml:space="preserve"/>
      </w:r>
    </w:p>
    <w:p>
      <w:pPr>
        <w:spacing w:after="80" w:before="80"/>
      </w:pPr>
      <w:r>
        <w:rPr>
          <w:rFonts w:ascii="Arial" w:cs="Arial" w:eastAsia="Arial" w:hAnsi="Arial"/>
          <w:b w:val="false"/>
          <w:bCs w:val="false"/>
          <w:color w:val="000000"/>
          <w:sz w:val="22"/>
          <w:szCs w:val="22"/>
        </w:rPr>
        <w:t xml:space="preserve">Administration and overhead costs must not exceed 10 per cent of the total programme cost. The programme cost is defined as the combined total of Sections 1 to 7 of the Financial Proposal, which covers all programme delivery. Administration costs in Section 8 of the Financial Proposal must not exceed this threshold. Any administration total above 10 per cent will not be accepted and the Financial Proposal must be revised before submission. Each administration cost line must be individually itemised and justified. Vague entries without a breakdown will not be accepted. Costs already counted in a programme delivery section may not be recounted as administration.</w:t>
      </w:r>
    </w:p>
    <w:p>
      <w:pPr>
        <w:pStyle w:val="Heading1"/>
        <w:spacing w:after="120" w:before="320"/>
      </w:pPr>
      <w:r>
        <w:rPr>
          <w:rFonts w:ascii="Arial" w:cs="Arial" w:eastAsia="Arial" w:hAnsi="Arial"/>
          <w:b/>
          <w:bCs/>
          <w:color w:val="1F3864"/>
          <w:sz w:val="30"/>
          <w:szCs w:val="30"/>
        </w:rPr>
        <w:t xml:space="preserve">26. Applicant timeline and milestones</w:t>
      </w:r>
    </w:p>
    <w:p>
      <w:pPr>
        <w:spacing w:after="80" w:before="80"/>
      </w:pPr>
      <w:r>
        <w:rPr>
          <w:rFonts w:ascii="Arial" w:cs="Arial" w:eastAsia="Arial" w:hAnsi="Arial"/>
          <w:b w:val="false"/>
          <w:bCs w:val="false"/>
          <w:color w:val="000000"/>
          <w:sz w:val="22"/>
          <w:szCs w:val="22"/>
        </w:rPr>
        <w:t xml:space="preserve">Applicants must provide a realistic implementation timeline from award to project start and through Year 1. The timeline must reflect the two-phase approach: pre-approval activities that begin immediately from award, and field activities that begin only once regulatory approvals are confirmed.</w:t>
      </w:r>
    </w:p>
    <w:p>
      <w:pPr>
        <w:spacing w:after="0" w:before="8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6026"/>
      </w:tblGrid>
      <w:tr>
        <w:tc>
          <w:tcPr>
            <w:tcW w:type="dxa" w:w="30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Milestone</w:t>
            </w:r>
          </w:p>
        </w:tc>
        <w:tc>
          <w:tcPr>
            <w:tcW w:type="dxa" w:w="6026"/>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Applicant should explain</w:t>
            </w:r>
          </w:p>
        </w:tc>
      </w:tr>
      <w:tr>
        <w:tc>
          <w:tcPr>
            <w:tcW w:type="dxa" w:w="3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Pre-approval activities (from award date)</w:t>
            </w:r>
          </w:p>
        </w:tc>
        <w:tc>
          <w:tcPr>
            <w:tcW w:type="dxa" w:w="6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Activities that may begin immediately: recruitment advertising, safer recruitment process, key staff appointments, safeguarding policy review, premises identification, bank account setup for foreign funds, regulatory application submission, equipment procurement, monitoring system and reporting template development.</w:t>
            </w:r>
          </w:p>
        </w:tc>
      </w:tr>
      <w:tr>
        <w:tc>
          <w:tcPr>
            <w:tcW w:type="dxa" w:w="3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Regulatory approvals</w:t>
            </w:r>
          </w:p>
        </w:tc>
        <w:tc>
          <w:tcPr>
            <w:tcW w:type="dxa" w:w="6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Which approvals are required under national rules on foreign-funded NGO operations, when applications will be submitted, realistic timelines, and how the programme will manage the pre-approval period.</w:t>
            </w:r>
          </w:p>
        </w:tc>
      </w:tr>
      <w:tr>
        <w:tc>
          <w:tcPr>
            <w:tcW w:type="dxa" w:w="3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Recruitment</w:t>
            </w:r>
          </w:p>
        </w:tc>
        <w:tc>
          <w:tcPr>
            <w:tcW w:type="dxa" w:w="6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Roles to be recruited, recruitment timeline, safer recruitment process and induction plan.</w:t>
            </w:r>
          </w:p>
        </w:tc>
      </w:tr>
      <w:tr>
        <w:tc>
          <w:tcPr>
            <w:tcW w:type="dxa" w:w="3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Safeguarding preparation</w:t>
            </w:r>
          </w:p>
        </w:tc>
        <w:tc>
          <w:tcPr>
            <w:tcW w:type="dxa" w:w="6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Policy review, staff training, code of conduct, complaints process, serious incident reporting, data protection and staff supervision arrangements.</w:t>
            </w:r>
          </w:p>
        </w:tc>
      </w:tr>
      <w:tr>
        <w:tc>
          <w:tcPr>
            <w:tcW w:type="dxa" w:w="3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Detached outreach deployment</w:t>
            </w:r>
          </w:p>
        </w:tc>
        <w:tc>
          <w:tcPr>
            <w:tcW w:type="dxa" w:w="6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When outreach workers will begin (after regulatory approval), where they will operate, how they will map children and how referrals will work.</w:t>
            </w:r>
          </w:p>
        </w:tc>
      </w:tr>
      <w:tr>
        <w:tc>
          <w:tcPr>
            <w:tcW w:type="dxa" w:w="3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Shelter setup</w:t>
            </w:r>
          </w:p>
        </w:tc>
        <w:tc>
          <w:tcPr>
            <w:tcW w:type="dxa" w:w="6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Premises selection or readiness, staffing, separation arrangements, equipment, safety checks and opening timeline.</w:t>
            </w:r>
          </w:p>
        </w:tc>
      </w:tr>
      <w:tr>
        <w:tc>
          <w:tcPr>
            <w:tcW w:type="dxa" w:w="3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AKASH setup</w:t>
            </w:r>
          </w:p>
        </w:tc>
        <w:tc>
          <w:tcPr>
            <w:tcW w:type="dxa" w:w="6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Teacher recruitment, learning plan, session locations, attendance tracking and safeguarding arrangements.</w:t>
            </w:r>
          </w:p>
        </w:tc>
      </w:tr>
      <w:tr>
        <w:tc>
          <w:tcPr>
            <w:tcW w:type="dxa" w:w="3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Ambassador programme</w:t>
            </w:r>
          </w:p>
        </w:tc>
        <w:tc>
          <w:tcPr>
            <w:tcW w:type="dxa" w:w="6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Recruitment, shortlisting, university partner if applicable, Dhaka training event, certificates and local cascade training plan. Runs in all three years.</w:t>
            </w:r>
          </w:p>
        </w:tc>
      </w:tr>
      <w:tr>
        <w:tc>
          <w:tcPr>
            <w:tcW w:type="dxa" w:w="3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Research or mapping</w:t>
            </w:r>
          </w:p>
        </w:tc>
        <w:tc>
          <w:tcPr>
            <w:tcW w:type="dxa" w:w="6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Tools, supervision, data protection compliance, safeguarding review and reporting arrangements.</w:t>
            </w:r>
          </w:p>
        </w:tc>
      </w:tr>
      <w:tr>
        <w:tc>
          <w:tcPr>
            <w:tcW w:type="dxa" w:w="3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Collaboration briefings</w:t>
            </w:r>
          </w:p>
        </w:tc>
        <w:tc>
          <w:tcPr>
            <w:tcW w:type="dxa" w:w="6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Timing of the two annual networking briefings and how learning will be captured.</w:t>
            </w:r>
          </w:p>
        </w:tc>
      </w:tr>
      <w:tr>
        <w:tc>
          <w:tcPr>
            <w:tcW w:type="dxa" w:w="3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Reporting</w:t>
            </w:r>
          </w:p>
        </w:tc>
        <w:tc>
          <w:tcPr>
            <w:tcW w:type="dxa" w:w="6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Monthly activity reports, monthly finance summaries, quarterly reviews, safeguarding reporting and annual review.</w:t>
            </w:r>
          </w:p>
        </w:tc>
      </w:tr>
    </w:tbl>
    <w:p>
      <w:pPr>
        <w:pStyle w:val="Heading1"/>
        <w:spacing w:after="120" w:before="320"/>
      </w:pPr>
      <w:r>
        <w:rPr>
          <w:rFonts w:ascii="Arial" w:cs="Arial" w:eastAsia="Arial" w:hAnsi="Arial"/>
          <w:b/>
          <w:bCs/>
          <w:color w:val="1F3864"/>
          <w:sz w:val="30"/>
          <w:szCs w:val="30"/>
        </w:rPr>
        <w:t xml:space="preserve">27. Minimum requirements</w:t>
      </w:r>
    </w:p>
    <w:p>
      <w:pPr>
        <w:spacing w:after="80" w:before="80"/>
      </w:pPr>
      <w:r>
        <w:rPr>
          <w:rFonts w:ascii="Arial" w:cs="Arial" w:eastAsia="Arial" w:hAnsi="Arial"/>
          <w:b w:val="false"/>
          <w:bCs w:val="false"/>
          <w:color w:val="000000"/>
          <w:sz w:val="22"/>
          <w:szCs w:val="22"/>
        </w:rPr>
        <w:t xml:space="preserve">The following are minimum standards for this programme. Applicants may propose stronger arrangements, but must not submit a model that falls below these requirements.</w:t>
      </w:r>
    </w:p>
    <w:p>
      <w:pPr>
        <w:pStyle w:val="ListParagraph"/>
        <w:numPr>
          <w:ilvl w:val="0"/>
          <w:numId w:val="2"/>
        </w:numPr>
        <w:spacing w:after="40" w:before="40"/>
      </w:pPr>
      <w:r>
        <w:rPr>
          <w:rFonts w:ascii="Arial" w:cs="Arial" w:eastAsia="Arial" w:hAnsi="Arial"/>
          <w:b w:val="false"/>
          <w:bCs w:val="false"/>
          <w:color w:val="000000"/>
          <w:sz w:val="22"/>
          <w:szCs w:val="22"/>
        </w:rPr>
        <w:t xml:space="preserve">Boys and girls must have separate sleeping arrangements.</w:t>
      </w:r>
    </w:p>
    <w:p>
      <w:pPr>
        <w:pStyle w:val="ListParagraph"/>
        <w:numPr>
          <w:ilvl w:val="0"/>
          <w:numId w:val="2"/>
        </w:numPr>
        <w:spacing w:after="40" w:before="40"/>
      </w:pPr>
      <w:r>
        <w:rPr>
          <w:rFonts w:ascii="Arial" w:cs="Arial" w:eastAsia="Arial" w:hAnsi="Arial"/>
          <w:b w:val="false"/>
          <w:bCs w:val="false"/>
          <w:color w:val="000000"/>
          <w:sz w:val="22"/>
          <w:szCs w:val="22"/>
        </w:rPr>
        <w:t xml:space="preserve">Younger and older children must be separated where needed.</w:t>
      </w:r>
    </w:p>
    <w:p>
      <w:pPr>
        <w:pStyle w:val="ListParagraph"/>
        <w:numPr>
          <w:ilvl w:val="0"/>
          <w:numId w:val="2"/>
        </w:numPr>
        <w:spacing w:after="40" w:before="40"/>
      </w:pPr>
      <w:r>
        <w:rPr>
          <w:rFonts w:ascii="Arial" w:cs="Arial" w:eastAsia="Arial" w:hAnsi="Arial"/>
          <w:b w:val="false"/>
          <w:bCs w:val="false"/>
          <w:color w:val="000000"/>
          <w:sz w:val="22"/>
          <w:szCs w:val="22"/>
        </w:rPr>
        <w:t xml:space="preserve">Children must not be detained in the shelter or treated as if they are being punished.</w:t>
      </w:r>
    </w:p>
    <w:p>
      <w:pPr>
        <w:pStyle w:val="ListParagraph"/>
        <w:numPr>
          <w:ilvl w:val="0"/>
          <w:numId w:val="2"/>
        </w:numPr>
        <w:spacing w:after="40" w:before="40"/>
      </w:pPr>
      <w:r>
        <w:rPr>
          <w:rFonts w:ascii="Arial" w:cs="Arial" w:eastAsia="Arial" w:hAnsi="Arial"/>
          <w:b w:val="false"/>
          <w:bCs w:val="false"/>
          <w:color w:val="000000"/>
          <w:sz w:val="22"/>
          <w:szCs w:val="22"/>
        </w:rPr>
        <w:t xml:space="preserve">Every shelter intake must have a case file and initial risk assessment.</w:t>
      </w:r>
    </w:p>
    <w:p>
      <w:pPr>
        <w:pStyle w:val="ListParagraph"/>
        <w:numPr>
          <w:ilvl w:val="0"/>
          <w:numId w:val="2"/>
        </w:numPr>
        <w:spacing w:after="40" w:before="40"/>
      </w:pPr>
      <w:r>
        <w:rPr>
          <w:rFonts w:ascii="Arial" w:cs="Arial" w:eastAsia="Arial" w:hAnsi="Arial"/>
          <w:b w:val="false"/>
          <w:bCs w:val="false"/>
          <w:color w:val="000000"/>
          <w:sz w:val="22"/>
          <w:szCs w:val="22"/>
        </w:rPr>
        <w:t xml:space="preserve">Family reunification must only happen after a safety assessment.</w:t>
      </w:r>
    </w:p>
    <w:p>
      <w:pPr>
        <w:pStyle w:val="ListParagraph"/>
        <w:numPr>
          <w:ilvl w:val="0"/>
          <w:numId w:val="2"/>
        </w:numPr>
        <w:spacing w:after="40" w:before="40"/>
      </w:pPr>
      <w:r>
        <w:rPr>
          <w:rFonts w:ascii="Arial" w:cs="Arial" w:eastAsia="Arial" w:hAnsi="Arial"/>
          <w:b w:val="false"/>
          <w:bCs w:val="false"/>
          <w:color w:val="000000"/>
          <w:sz w:val="22"/>
          <w:szCs w:val="22"/>
        </w:rPr>
        <w:t xml:space="preserve">No child should be returned to unsafe conditions because the 6-week period has ended.</w:t>
      </w:r>
    </w:p>
    <w:p>
      <w:pPr>
        <w:pStyle w:val="ListParagraph"/>
        <w:numPr>
          <w:ilvl w:val="0"/>
          <w:numId w:val="2"/>
        </w:numPr>
        <w:spacing w:after="40" w:before="40"/>
      </w:pPr>
      <w:r>
        <w:rPr>
          <w:rFonts w:ascii="Arial" w:cs="Arial" w:eastAsia="Arial" w:hAnsi="Arial"/>
          <w:b w:val="false"/>
          <w:bCs w:val="false"/>
          <w:color w:val="000000"/>
          <w:sz w:val="22"/>
          <w:szCs w:val="22"/>
        </w:rPr>
        <w:t xml:space="preserve">All staff and volunteers with child contact must receive safeguarding training before any contact with children.</w:t>
      </w:r>
    </w:p>
    <w:p>
      <w:pPr>
        <w:pStyle w:val="ListParagraph"/>
        <w:numPr>
          <w:ilvl w:val="0"/>
          <w:numId w:val="2"/>
        </w:numPr>
        <w:spacing w:after="40" w:before="40"/>
      </w:pPr>
      <w:r>
        <w:rPr>
          <w:rFonts w:ascii="Arial" w:cs="Arial" w:eastAsia="Arial" w:hAnsi="Arial"/>
          <w:b w:val="false"/>
          <w:bCs w:val="false"/>
          <w:color w:val="000000"/>
          <w:sz w:val="22"/>
          <w:szCs w:val="22"/>
        </w:rPr>
        <w:t xml:space="preserve">All staff, volunteers, teachers, care workers and ambassadors must understand their role boundaries.</w:t>
      </w:r>
    </w:p>
    <w:p>
      <w:pPr>
        <w:pStyle w:val="ListParagraph"/>
        <w:numPr>
          <w:ilvl w:val="0"/>
          <w:numId w:val="2"/>
        </w:numPr>
        <w:spacing w:after="40" w:before="40"/>
      </w:pPr>
      <w:r>
        <w:rPr>
          <w:rFonts w:ascii="Arial" w:cs="Arial" w:eastAsia="Arial" w:hAnsi="Arial"/>
          <w:b w:val="false"/>
          <w:bCs w:val="false"/>
          <w:color w:val="000000"/>
          <w:sz w:val="22"/>
          <w:szCs w:val="22"/>
        </w:rPr>
        <w:t xml:space="preserve">Ambassadors must not have unsupervised access to children unless properly checked, trained and authorised through the selected NGO.</w:t>
      </w:r>
    </w:p>
    <w:p>
      <w:pPr>
        <w:pStyle w:val="ListParagraph"/>
        <w:numPr>
          <w:ilvl w:val="0"/>
          <w:numId w:val="2"/>
        </w:numPr>
        <w:spacing w:after="40" w:before="40"/>
      </w:pPr>
      <w:r>
        <w:rPr>
          <w:rFonts w:ascii="Arial" w:cs="Arial" w:eastAsia="Arial" w:hAnsi="Arial"/>
          <w:b w:val="false"/>
          <w:bCs w:val="false"/>
          <w:color w:val="000000"/>
          <w:sz w:val="22"/>
          <w:szCs w:val="22"/>
        </w:rPr>
        <w:t xml:space="preserve">Any allegation of abuse, exploitation, safeguarding breach, bribery, corruption or misuse of funds must be treated seriously and escalated through agreed reporting procedures.</w:t>
      </w:r>
    </w:p>
    <w:p>
      <w:pPr>
        <w:pStyle w:val="ListParagraph"/>
        <w:numPr>
          <w:ilvl w:val="0"/>
          <w:numId w:val="2"/>
        </w:numPr>
        <w:spacing w:after="40" w:before="40"/>
      </w:pPr>
      <w:r>
        <w:rPr>
          <w:rFonts w:ascii="Arial" w:cs="Arial" w:eastAsia="Arial" w:hAnsi="Arial"/>
          <w:b w:val="false"/>
          <w:bCs w:val="false"/>
          <w:color w:val="000000"/>
          <w:sz w:val="22"/>
          <w:szCs w:val="22"/>
        </w:rPr>
        <w:t xml:space="preserve">All child data must be handled in compliance with applicable national data protection requirements.</w:t>
      </w:r>
    </w:p>
    <w:p>
      <w:pPr>
        <w:pStyle w:val="ListParagraph"/>
        <w:numPr>
          <w:ilvl w:val="0"/>
          <w:numId w:val="2"/>
        </w:numPr>
        <w:spacing w:after="40" w:before="40"/>
      </w:pPr>
      <w:r>
        <w:rPr>
          <w:rFonts w:ascii="Arial" w:cs="Arial" w:eastAsia="Arial" w:hAnsi="Arial"/>
          <w:b w:val="false"/>
          <w:bCs w:val="false"/>
          <w:color w:val="000000"/>
          <w:sz w:val="22"/>
          <w:szCs w:val="22"/>
        </w:rPr>
        <w:t xml:space="preserve">Subcontracting of programme delivery to a third organisation is not permitted.</w:t>
      </w:r>
    </w:p>
    <w:p>
      <w:pPr>
        <w:pStyle w:val="ListParagraph"/>
        <w:numPr>
          <w:ilvl w:val="0"/>
          <w:numId w:val="2"/>
        </w:numPr>
        <w:spacing w:after="40" w:before="40"/>
      </w:pPr>
      <w:r>
        <w:rPr>
          <w:rFonts w:ascii="Arial" w:cs="Arial" w:eastAsia="Arial" w:hAnsi="Arial"/>
          <w:b w:val="false"/>
          <w:bCs w:val="false"/>
          <w:color w:val="000000"/>
          <w:sz w:val="22"/>
          <w:szCs w:val="22"/>
        </w:rPr>
        <w:t xml:space="preserve">Applicants must provide accurate information and must not omit relevant safeguarding, financial or legal concerns.</w:t>
      </w:r>
    </w:p>
    <w:p>
      <w:pPr>
        <w:pStyle w:val="Heading1"/>
        <w:spacing w:after="120" w:before="320"/>
      </w:pPr>
      <w:r>
        <w:rPr>
          <w:rFonts w:ascii="Arial" w:cs="Arial" w:eastAsia="Arial" w:hAnsi="Arial"/>
          <w:b/>
          <w:bCs/>
          <w:color w:val="1F3864"/>
          <w:sz w:val="30"/>
          <w:szCs w:val="30"/>
        </w:rPr>
        <w:t xml:space="preserve">28. Intellectual property and programme materials</w:t>
      </w:r>
    </w:p>
    <w:p>
      <w:pPr>
        <w:spacing w:after="80" w:before="80"/>
      </w:pPr>
      <w:r>
        <w:rPr>
          <w:rFonts w:ascii="Arial" w:cs="Arial" w:eastAsia="Arial" w:hAnsi="Arial"/>
          <w:b w:val="false"/>
          <w:bCs w:val="false"/>
          <w:color w:val="000000"/>
          <w:sz w:val="22"/>
          <w:szCs w:val="22"/>
        </w:rPr>
        <w:t xml:space="preserve">All training materials, case management tools, AKASH learning resources, monitoring frameworks, research outputs, ambassador programme content and programme-specific materials developed under this project are shared programme assets. The selected partner may continue to use general programme methods and learning developed through its own experience. It may not publish, distribute or commercialise materials specifically created for and funded by this programme without written agreement from Blackstone Trust.</w:t>
      </w:r>
    </w:p>
    <w:p>
      <w:pPr>
        <w:spacing w:after="80" w:before="80"/>
      </w:pPr>
      <w:r>
        <w:rPr>
          <w:rFonts w:ascii="Arial" w:cs="Arial" w:eastAsia="Arial" w:hAnsi="Arial"/>
          <w:b w:val="false"/>
          <w:bCs w:val="false"/>
          <w:color w:val="000000"/>
          <w:sz w:val="22"/>
          <w:szCs w:val="22"/>
        </w:rPr>
        <w:t xml:space="preserve">If the programme ends for any reason before the three-year period is complete, the selected partner must retain all child and beneficiary records in Bangladesh in secure storage, in compliance with applicable data protection requirements. Copies of all programme reports, anonymised case summaries, financial records and monitoring outputs must be provided to Blackstone Trust in an agreed format before programme closure.</w:t>
      </w:r>
    </w:p>
    <w:p>
      <w:pPr>
        <w:pStyle w:val="Heading1"/>
        <w:spacing w:after="120" w:before="320"/>
      </w:pPr>
      <w:r>
        <w:rPr>
          <w:rFonts w:ascii="Arial" w:cs="Arial" w:eastAsia="Arial" w:hAnsi="Arial"/>
          <w:b/>
          <w:bCs/>
          <w:color w:val="1F3864"/>
          <w:sz w:val="30"/>
          <w:szCs w:val="30"/>
        </w:rPr>
        <w:t xml:space="preserve">29. Assessment and scoring</w:t>
      </w:r>
    </w:p>
    <w:p>
      <w:pPr>
        <w:spacing w:after="80" w:before="80"/>
      </w:pPr>
      <w:r>
        <w:rPr>
          <w:rFonts w:ascii="Arial" w:cs="Arial" w:eastAsia="Arial" w:hAnsi="Arial"/>
          <w:b w:val="false"/>
          <w:bCs w:val="false"/>
          <w:color w:val="000000"/>
          <w:sz w:val="22"/>
          <w:szCs w:val="22"/>
        </w:rPr>
        <w:t xml:space="preserve">Blackstone Trust will assess applications against the quality of the written proposal, the Financial Proposal, the online evidence folder, relevant experience, safeguarding strength, operational realism, value for money and ability to deliver the programme safely. Shortlisting may be followed by interview, further due diligence, face-to-face meeting and site visit.</w:t>
      </w:r>
    </w:p>
    <w:p>
      <w:pPr>
        <w:spacing w:after="80" w:before="80"/>
      </w:pPr>
      <w:r>
        <w:rPr>
          <w:rFonts w:ascii="Arial" w:cs="Arial" w:eastAsia="Arial" w:hAnsi="Arial"/>
          <w:b w:val="false"/>
          <w:bCs w:val="false"/>
          <w:color w:val="000000"/>
          <w:sz w:val="22"/>
          <w:szCs w:val="22"/>
        </w:rPr>
        <w:t xml:space="preserve">Applications that score below 12 out of 15 in the safeguarding and child protection category will not proceed to shortlisting or interview, regardless of their total score across other categories. This threshold reflects the non-negotiable nature of child protection in a programme involving street-connected children, overnight shelter, direct casework and contact with potentially exploited or trafficked children. Blackstone Trust will notify applicants below this threshold that their application has not progressed, but is not obligated to provide detailed scoring feedback.</w:t>
      </w:r>
    </w:p>
    <w:p>
      <w:pPr>
        <w:spacing w:after="0" w:before="80"/>
      </w:pPr>
      <w:r>
        <w:rPr>
          <w:rFonts w:ascii="Arial" w:cs="Arial" w:eastAsia="Arial" w:hAnsi="Arial"/>
          <w:sz w:val="22"/>
          <w:szCs w:val="22"/>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026"/>
        <w:gridCol w:w="2000"/>
        <w:gridCol w:w="2000"/>
      </w:tblGrid>
      <w:tr>
        <w:tc>
          <w:tcPr>
            <w:tcW w:type="dxa" w:w="5026"/>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Assessment area</w:t>
            </w:r>
          </w:p>
        </w:tc>
        <w:tc>
          <w:tcPr>
            <w:tcW w:type="dxa" w:w="20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Marks available</w:t>
            </w:r>
          </w:p>
        </w:tc>
        <w:tc>
          <w:tcPr>
            <w:tcW w:type="dxa" w:w="2000"/>
            <w:tcBorders>
              <w:top w:val="single" w:color="AAAAAA" w:sz="4"/>
              <w:left w:val="single" w:color="AAAAAA" w:sz="4"/>
              <w:bottom w:val="single" w:color="AAAAAA" w:sz="4"/>
              <w:right w:val="single" w:color="AAAAAA" w:sz="4"/>
            </w:tcBorders>
            <w:shd w:fill="D5E8F0" w:val="clear"/>
            <w:tcMar>
              <w:top w:type="dxa" w:w="100"/>
              <w:left w:type="dxa" w:w="140"/>
              <w:bottom w:type="dxa" w:w="100"/>
              <w:right w:type="dxa" w:w="140"/>
            </w:tcMar>
            <w:vAlign w:val="top"/>
          </w:tcPr>
          <w:p>
            <w:pPr>
              <w:spacing w:after="40" w:before="40"/>
              <w:jc w:val="left"/>
            </w:pPr>
            <w:r>
              <w:rPr>
                <w:rFonts w:ascii="Arial" w:cs="Arial" w:eastAsia="Arial" w:hAnsi="Arial"/>
                <w:b/>
                <w:bCs/>
                <w:color w:val="000000"/>
                <w:sz w:val="20"/>
                <w:szCs w:val="20"/>
              </w:rPr>
              <w:t xml:space="preserve">Minimum to proceed</w:t>
            </w:r>
          </w:p>
        </w:tc>
      </w:tr>
      <w:tr>
        <w:tc>
          <w:tcPr>
            <w:tcW w:type="dxa" w:w="5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Understanding of the project and 6-week pathway</w:t>
            </w:r>
          </w:p>
        </w:tc>
        <w:tc>
          <w:tcPr>
            <w:tcW w:type="dxa" w:w="2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10</w:t>
            </w:r>
          </w:p>
        </w:tc>
        <w:tc>
          <w:tcPr>
            <w:tcW w:type="dxa" w:w="2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No minimum</w:t>
            </w:r>
          </w:p>
        </w:tc>
      </w:tr>
      <w:tr>
        <w:tc>
          <w:tcPr>
            <w:tcW w:type="dxa" w:w="5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Relevant organisational or senior staff experience</w:t>
            </w:r>
          </w:p>
        </w:tc>
        <w:tc>
          <w:tcPr>
            <w:tcW w:type="dxa" w:w="2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10</w:t>
            </w:r>
          </w:p>
        </w:tc>
        <w:tc>
          <w:tcPr>
            <w:tcW w:type="dxa" w:w="2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No minimum</w:t>
            </w:r>
          </w:p>
        </w:tc>
      </w:tr>
      <w:tr>
        <w:tc>
          <w:tcPr>
            <w:tcW w:type="dxa" w:w="5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Detached outreach model</w:t>
            </w:r>
          </w:p>
        </w:tc>
        <w:tc>
          <w:tcPr>
            <w:tcW w:type="dxa" w:w="2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10</w:t>
            </w:r>
          </w:p>
        </w:tc>
        <w:tc>
          <w:tcPr>
            <w:tcW w:type="dxa" w:w="2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No minimum</w:t>
            </w:r>
          </w:p>
        </w:tc>
      </w:tr>
      <w:tr>
        <w:tc>
          <w:tcPr>
            <w:tcW w:type="dxa" w:w="5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Rescue and night shelter model</w:t>
            </w:r>
          </w:p>
        </w:tc>
        <w:tc>
          <w:tcPr>
            <w:tcW w:type="dxa" w:w="2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15</w:t>
            </w:r>
          </w:p>
        </w:tc>
        <w:tc>
          <w:tcPr>
            <w:tcW w:type="dxa" w:w="2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No minimum</w:t>
            </w:r>
          </w:p>
        </w:tc>
      </w:tr>
      <w:tr>
        <w:tc>
          <w:tcPr>
            <w:tcW w:type="dxa" w:w="5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AKASH informal education model</w:t>
            </w:r>
          </w:p>
        </w:tc>
        <w:tc>
          <w:tcPr>
            <w:tcW w:type="dxa" w:w="2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10</w:t>
            </w:r>
          </w:p>
        </w:tc>
        <w:tc>
          <w:tcPr>
            <w:tcW w:type="dxa" w:w="2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No minimum</w:t>
            </w:r>
          </w:p>
        </w:tc>
      </w:tr>
      <w:tr>
        <w:tc>
          <w:tcPr>
            <w:tcW w:type="dxa" w:w="5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Ambassador, research and awareness programme</w:t>
            </w:r>
          </w:p>
        </w:tc>
        <w:tc>
          <w:tcPr>
            <w:tcW w:type="dxa" w:w="2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15</w:t>
            </w:r>
          </w:p>
        </w:tc>
        <w:tc>
          <w:tcPr>
            <w:tcW w:type="dxa" w:w="2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No minimum</w:t>
            </w:r>
          </w:p>
        </w:tc>
      </w:tr>
      <w:tr>
        <w:tc>
          <w:tcPr>
            <w:tcW w:type="dxa" w:w="5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Collaboration and networking briefings</w:t>
            </w:r>
          </w:p>
        </w:tc>
        <w:tc>
          <w:tcPr>
            <w:tcW w:type="dxa" w:w="2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5</w:t>
            </w:r>
          </w:p>
        </w:tc>
        <w:tc>
          <w:tcPr>
            <w:tcW w:type="dxa" w:w="2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No minimum</w:t>
            </w:r>
          </w:p>
        </w:tc>
      </w:tr>
      <w:tr>
        <w:tc>
          <w:tcPr>
            <w:tcW w:type="dxa" w:w="5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Safeguarding and child protection</w:t>
            </w:r>
          </w:p>
        </w:tc>
        <w:tc>
          <w:tcPr>
            <w:tcW w:type="dxa" w:w="2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15</w:t>
            </w:r>
          </w:p>
        </w:tc>
        <w:tc>
          <w:tcPr>
            <w:tcW w:type="dxa" w:w="2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12 out of 15 (applications below this score will not proceed)</w:t>
            </w:r>
          </w:p>
        </w:tc>
      </w:tr>
      <w:tr>
        <w:tc>
          <w:tcPr>
            <w:tcW w:type="dxa" w:w="5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Monitoring, evidence, governance and reporting</w:t>
            </w:r>
          </w:p>
        </w:tc>
        <w:tc>
          <w:tcPr>
            <w:tcW w:type="dxa" w:w="2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10</w:t>
            </w:r>
          </w:p>
        </w:tc>
        <w:tc>
          <w:tcPr>
            <w:tcW w:type="dxa" w:w="2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No minimum</w:t>
            </w:r>
          </w:p>
        </w:tc>
      </w:tr>
      <w:tr>
        <w:tc>
          <w:tcPr>
            <w:tcW w:type="dxa" w:w="5026"/>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Budget and value for money</w:t>
            </w:r>
          </w:p>
        </w:tc>
        <w:tc>
          <w:tcPr>
            <w:tcW w:type="dxa" w:w="2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10</w:t>
            </w:r>
          </w:p>
        </w:tc>
        <w:tc>
          <w:tcPr>
            <w:tcW w:type="dxa" w:w="2000"/>
            <w:tcBorders>
              <w:top w:val="single" w:color="AAAAAA" w:sz="4"/>
              <w:left w:val="single" w:color="AAAAAA" w:sz="4"/>
              <w:bottom w:val="single" w:color="AAAAAA" w:sz="4"/>
              <w:right w:val="single" w:color="AAAAAA" w:sz="4"/>
            </w:tcBorders>
            <w:shd w:fill="F7FBFD" w:val="clear"/>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No minimum</w:t>
            </w:r>
          </w:p>
        </w:tc>
      </w:tr>
      <w:tr>
        <w:tc>
          <w:tcPr>
            <w:tcW w:type="dxa" w:w="5026"/>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Total</w:t>
            </w:r>
          </w:p>
        </w:tc>
        <w:tc>
          <w:tcPr>
            <w:tcW w:type="dxa" w:w="2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100</w:t>
            </w:r>
          </w:p>
        </w:tc>
        <w:tc>
          <w:tcPr>
            <w:tcW w:type="dxa" w:w="2000"/>
            <w:tcBorders>
              <w:top w:val="single" w:color="AAAAAA" w:sz="4"/>
              <w:left w:val="single" w:color="AAAAAA" w:sz="4"/>
              <w:bottom w:val="single" w:color="AAAAAA" w:sz="4"/>
              <w:right w:val="single" w:color="AAAAAA" w:sz="4"/>
            </w:tcBorders>
            <w:tcMar>
              <w:top w:type="dxa" w:w="100"/>
              <w:left w:type="dxa" w:w="140"/>
              <w:bottom w:type="dxa" w:w="100"/>
              <w:right w:type="dxa" w:w="140"/>
            </w:tcMar>
            <w:vAlign w:val="top"/>
          </w:tcPr>
          <w:p>
            <w:pPr>
              <w:spacing w:after="40" w:before="40"/>
              <w:jc w:val="left"/>
            </w:pPr>
            <w:r>
              <w:rPr>
                <w:rFonts w:ascii="Arial" w:cs="Arial" w:eastAsia="Arial" w:hAnsi="Arial"/>
                <w:b w:val="false"/>
                <w:bCs w:val="false"/>
                <w:color w:val="000000"/>
                <w:sz w:val="20"/>
                <w:szCs w:val="20"/>
              </w:rPr>
              <w:t xml:space="preserve">Minimum 12/15 in safeguarding to proceed</w:t>
            </w:r>
          </w:p>
        </w:tc>
      </w:tr>
    </w:tbl>
    <w:p>
      <w:pPr>
        <w:spacing w:after="0" w:before="80"/>
      </w:pPr>
      <w:r>
        <w:rPr>
          <w:rFonts w:ascii="Arial" w:cs="Arial" w:eastAsia="Arial" w:hAnsi="Arial"/>
          <w:sz w:val="22"/>
          <w:szCs w:val="22"/>
        </w:rPr>
        <w:t xml:space="preserve"/>
      </w:r>
    </w:p>
    <w:p>
      <w:pPr>
        <w:spacing w:after="80" w:before="80"/>
      </w:pPr>
      <w:r>
        <w:rPr>
          <w:rFonts w:ascii="Arial" w:cs="Arial" w:eastAsia="Arial" w:hAnsi="Arial"/>
          <w:b w:val="false"/>
          <w:bCs w:val="false"/>
          <w:color w:val="000000"/>
          <w:sz w:val="22"/>
          <w:szCs w:val="22"/>
        </w:rPr>
        <w:t xml:space="preserve">Applications will be assessed against reasonable cost expectations and Blackstone Trust's internal benchmarking. Inflated, unclear or unsupported costs may reduce the score, as will budgets that appear too low to deliver safely. Applications will score higher where the Financial Proposal demonstrates realistic costs, clear assumptions, evidence-based local contribution, genuine in-kind support and strong value for money without compromising child protection or programme quality.</w:t>
      </w:r>
    </w:p>
    <w:p>
      <w:pPr>
        <w:pStyle w:val="Heading1"/>
        <w:spacing w:after="120" w:before="320"/>
      </w:pPr>
      <w:r>
        <w:rPr>
          <w:rFonts w:ascii="Arial" w:cs="Arial" w:eastAsia="Arial" w:hAnsi="Arial"/>
          <w:b/>
          <w:bCs/>
          <w:color w:val="1F3864"/>
          <w:sz w:val="30"/>
          <w:szCs w:val="30"/>
        </w:rPr>
        <w:t xml:space="preserve">30. Due diligence, interviews and site visits</w:t>
      </w:r>
    </w:p>
    <w:p>
      <w:pPr>
        <w:spacing w:after="80" w:before="80"/>
      </w:pPr>
      <w:r>
        <w:rPr>
          <w:rFonts w:ascii="Arial" w:cs="Arial" w:eastAsia="Arial" w:hAnsi="Arial"/>
          <w:b w:val="false"/>
          <w:bCs w:val="false"/>
          <w:color w:val="000000"/>
          <w:sz w:val="22"/>
          <w:szCs w:val="22"/>
        </w:rPr>
        <w:t xml:space="preserve">Submission of an application does not create any agreement or commitment by Blackstone Trust. Blackstone Trust may request further information, invite shortlisted applicants to interview, arrange a face-to-face meeting, conduct a site visit, review original documents, contact references and carry out further due diligence before making any decision.</w:t>
      </w:r>
    </w:p>
    <w:p>
      <w:pPr>
        <w:spacing w:after="80" w:before="80"/>
      </w:pPr>
      <w:r>
        <w:rPr>
          <w:rFonts w:ascii="Arial" w:cs="Arial" w:eastAsia="Arial" w:hAnsi="Arial"/>
          <w:b w:val="false"/>
          <w:bCs w:val="false"/>
          <w:color w:val="000000"/>
          <w:sz w:val="22"/>
          <w:szCs w:val="22"/>
        </w:rPr>
        <w:t xml:space="preserve">Blackstone Trust intends to shortlist a maximum of three applicants. This is a children's safeguarding programme involving overnight shelter, direct casework, street outreach and contact with potentially exploited or trafficked children. The shortlisting threshold is intentionally high and will reflect the quality of safeguarding evidence, track record, operational realism and Financial Proposal, not writing quality alone.</w:t>
      </w:r>
    </w:p>
    <w:p>
      <w:pPr>
        <w:spacing w:after="80" w:before="80"/>
      </w:pPr>
      <w:r>
        <w:rPr>
          <w:rFonts w:ascii="Arial" w:cs="Arial" w:eastAsia="Arial" w:hAnsi="Arial"/>
          <w:b w:val="false"/>
          <w:bCs w:val="false"/>
          <w:color w:val="000000"/>
          <w:sz w:val="22"/>
          <w:szCs w:val="22"/>
        </w:rPr>
        <w:t xml:space="preserve">Applicants who have not been contacted by Blackstone Trust by the end of June 2026 should assume that their application has not progressed. Blackstone Trust will not provide individual scoring feedback to unsuccessful applicants, but will notify them that their application has not been taken forward.</w:t>
      </w:r>
    </w:p>
    <w:p>
      <w:pPr>
        <w:spacing w:after="80" w:before="80"/>
      </w:pPr>
      <w:r>
        <w:rPr>
          <w:rFonts w:ascii="Arial" w:cs="Arial" w:eastAsia="Arial" w:hAnsi="Arial"/>
          <w:b w:val="false"/>
          <w:bCs w:val="false"/>
          <w:color w:val="000000"/>
          <w:sz w:val="22"/>
          <w:szCs w:val="22"/>
        </w:rPr>
        <w:t xml:space="preserve">Shortlisted applicants should expect a rigorous process that may include written clarification questions, a series of further due diligence questions, a formal interview, a face-to-face meeting and a site visit. Senior staff and trustees of the applicant organisation may be asked to participate in interviews or meetings. Applicants must be prepared to answer detailed questions about their delivery model, safeguarding systems, financial controls, track record and organisational governance. Blackstone Trust will not proceed with an applicant who is unable to defend its application in discussion or whose answers during due diligence raise concerns about safeguarding, financial integrity or programme credibility.</w:t>
      </w:r>
    </w:p>
    <w:p>
      <w:pPr>
        <w:spacing w:after="80" w:before="80"/>
      </w:pPr>
      <w:r>
        <w:rPr>
          <w:rFonts w:ascii="Arial" w:cs="Arial" w:eastAsia="Arial" w:hAnsi="Arial"/>
          <w:b w:val="false"/>
          <w:bCs w:val="false"/>
          <w:color w:val="000000"/>
          <w:sz w:val="22"/>
          <w:szCs w:val="22"/>
        </w:rPr>
        <w:t xml:space="preserve">Blackstone Trust may decide not to proceed with any applicant if information is incomplete, inaccurate, unsupported by evidence, inconsistent with the online folder, weak on safeguarding, or not suitable for the programme. Blackstone Trust may withdraw this RFP at any time without obligation to any applicant.</w:t>
      </w:r>
    </w:p>
    <w:p>
      <w:pPr>
        <w:pStyle w:val="Heading1"/>
        <w:spacing w:after="120" w:before="320"/>
      </w:pPr>
      <w:r>
        <w:rPr>
          <w:rFonts w:ascii="Arial" w:cs="Arial" w:eastAsia="Arial" w:hAnsi="Arial"/>
          <w:b/>
          <w:bCs/>
          <w:color w:val="1F3864"/>
          <w:sz w:val="30"/>
          <w:szCs w:val="30"/>
        </w:rPr>
        <w:t xml:space="preserve">31. Final guidance to applicants</w:t>
      </w:r>
    </w:p>
    <w:p>
      <w:pPr>
        <w:spacing w:after="80" w:before="80"/>
      </w:pPr>
      <w:r>
        <w:rPr>
          <w:rFonts w:ascii="Arial" w:cs="Arial" w:eastAsia="Arial" w:hAnsi="Arial"/>
          <w:b w:val="false"/>
          <w:bCs w:val="false"/>
          <w:color w:val="000000"/>
          <w:sz w:val="22"/>
          <w:szCs w:val="22"/>
        </w:rPr>
        <w:t xml:space="preserve">Applicants should use the application form to explain their proposed delivery model clearly and honestly. Blackstone Trust is not looking for inflated claims or unrealistic budgets. We are looking for a capable partner that understands the risks of working with street-connected children and can deliver careful, evidence-based and humane support.</w:t>
      </w:r>
    </w:p>
    <w:p>
      <w:pPr>
        <w:spacing w:after="80" w:before="80"/>
      </w:pPr>
      <w:r>
        <w:rPr>
          <w:rFonts w:ascii="Arial" w:cs="Arial" w:eastAsia="Arial" w:hAnsi="Arial"/>
          <w:b w:val="false"/>
          <w:bCs w:val="false"/>
          <w:color w:val="000000"/>
          <w:sz w:val="22"/>
          <w:szCs w:val="22"/>
        </w:rPr>
        <w:t xml:space="preserve">The strongest applications will show genuine knowledge of the work, a credible Dhaka-based operational structure, practical child protection systems, disciplined case management, honest budgeting and a realistic plan for evidenced outcomes over the three-year period.</w:t>
      </w:r>
    </w:p>
    <w:p>
      <w:pPr>
        <w:spacing w:after="80" w:before="80"/>
      </w:pPr>
      <w:r>
        <w:rPr>
          <w:rFonts w:ascii="Arial" w:cs="Arial" w:eastAsia="Arial" w:hAnsi="Arial"/>
          <w:b w:val="false"/>
          <w:bCs w:val="false"/>
          <w:color w:val="000000"/>
          <w:sz w:val="22"/>
          <w:szCs w:val="22"/>
        </w:rPr>
        <w:t xml:space="preserve">Blackstone Trust reserves the right to request additional information, conduct further due diligence, or decline to proceed with any application without providing detailed reasons.</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1"/>
      </w:pBdr>
      <w:spacing w:after="0" w:before="80"/>
      <w:jc w:val="center"/>
    </w:pPr>
    <w:r>
      <w:rPr>
        <w:rFonts w:ascii="Arial" w:cs="Arial" w:eastAsia="Arial" w:hAnsi="Arial"/>
        <w:color w:val="888888"/>
        <w:sz w:val="16"/>
        <w:szCs w:val="16"/>
      </w:rPr>
      <w:t xml:space="preserve">Page </w:t>
    </w:r>
    <w:r>
      <w:rPr>
        <w:rFonts w:ascii="Arial" w:cs="Arial" w:eastAsia="Arial" w:hAnsi="Arial"/>
        <w:color w:val="888888"/>
        <w:sz w:val="16"/>
        <w:szCs w:val="16"/>
      </w:rPr>
      <w:fldChar w:fldCharType="begin"/>
      <w:instrText xml:space="preserve">PAGE</w:instrText>
      <w:fldChar w:fldCharType="separate"/>
      <w:fldChar w:fldCharType="end"/>
    </w:r>
    <w:r>
      <w:rPr>
        <w:rFonts w:ascii="Arial" w:cs="Arial" w:eastAsia="Arial" w:hAnsi="Arial"/>
        <w:color w:val="888888"/>
        <w:sz w:val="16"/>
        <w:szCs w:val="16"/>
      </w:rPr>
      <w:t xml:space="preserve">  |  Version 6  |  May 2026  |  Blackstone Trust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F3864" w:sz="6" w:space="1"/>
      </w:pBdr>
      <w:spacing w:after="120" w:before="0"/>
      <w:jc w:val="right"/>
    </w:pPr>
    <w:r>
      <w:rPr>
        <w:rFonts w:ascii="Arial" w:cs="Arial" w:eastAsia="Arial" w:hAnsi="Arial"/>
        <w:color w:val="666666"/>
        <w:sz w:val="16"/>
        <w:szCs w:val="16"/>
      </w:rPr>
      <w:t xml:space="preserve">Blackstone Trust  |  RFP Guidance Notes  |  Street Connected Children Programme, Bangladesh  |  RESTRICTED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spacing w:after="40" w:before="40"/>
        <w:ind w:left="720" w:hanging="360"/>
      </w:pPr>
      <w:rPr>
        <w:rFonts w:ascii="Arial" w:cs="Arial" w:eastAsia="Arial" w:hAnsi="Arial"/>
        <w:sz w:val="22"/>
        <w:szCs w:val="22"/>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20"/>
      <w:outlineLvl w:val="0"/>
    </w:pPr>
    <w:rPr>
      <w:rFonts w:ascii="Arial" w:cs="Arial" w:eastAsia="Arial" w:hAnsi="Arial"/>
      <w:b/>
      <w:bCs/>
      <w:color w:val="1F3864"/>
      <w:sz w:val="30"/>
      <w:szCs w:val="30"/>
    </w:rPr>
  </w:style>
  <w:style w:type="paragraph" w:styleId="Heading2">
    <w:name w:val="Heading 2"/>
    <w:basedOn w:val="Normal"/>
    <w:next w:val="Normal"/>
    <w:qFormat/>
    <w:pPr>
      <w:spacing w:after="80" w:before="200"/>
      <w:outlineLvl w:val="1"/>
    </w:pPr>
    <w:rPr>
      <w:rFonts w:ascii="Arial" w:cs="Arial" w:eastAsia="Arial" w:hAnsi="Arial"/>
      <w:b/>
      <w:bCs/>
      <w:color w:val="2E75B6"/>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db1e3e4644891b190a4c6fb664be97387dae9508.undefined"/><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2026-05-28T20:49:51.026Z</dcterms:created>
  <dcterms:modified xsi:type="dcterms:W3CDTF">2026-05-28T20:49:51.030Z</dcterms:modified>
</cp:coreProperties>
</file>

<file path=docProps/custom.xml><?xml version="1.0" encoding="utf-8"?>
<Properties xmlns="http://schemas.openxmlformats.org/officeDocument/2006/custom-properties" xmlns:vt="http://schemas.openxmlformats.org/officeDocument/2006/docPropsVTypes"/>
</file>